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57" w:rsidRPr="00F749A5" w:rsidRDefault="00E75557" w:rsidP="0039474D">
      <w:pPr>
        <w:spacing w:before="120" w:after="0" w:line="360" w:lineRule="auto"/>
        <w:jc w:val="center"/>
        <w:rPr>
          <w:rFonts w:ascii="Times New Roman" w:eastAsia="Times New Roman" w:hAnsi="Times New Roman" w:cs="Times New Roman"/>
          <w:sz w:val="24"/>
          <w:szCs w:val="24"/>
          <w:lang w:eastAsia="pl-PL"/>
        </w:rPr>
      </w:pPr>
      <w:bookmarkStart w:id="0" w:name="_GoBack"/>
      <w:bookmarkEnd w:id="0"/>
      <w:r w:rsidRPr="00F749A5">
        <w:rPr>
          <w:rFonts w:ascii="Times New Roman" w:eastAsia="Times New Roman" w:hAnsi="Times New Roman" w:cs="Times New Roman"/>
          <w:sz w:val="24"/>
          <w:szCs w:val="24"/>
          <w:lang w:eastAsia="pl-PL"/>
        </w:rPr>
        <w:t>UZASADNIENIE</w:t>
      </w:r>
    </w:p>
    <w:p w:rsidR="00F00D3F" w:rsidRPr="0039474D" w:rsidRDefault="00F00D3F" w:rsidP="0039474D">
      <w:pPr>
        <w:spacing w:before="120" w:after="0" w:line="360" w:lineRule="auto"/>
        <w:jc w:val="center"/>
        <w:rPr>
          <w:rFonts w:ascii="Times New Roman" w:eastAsia="Times New Roman" w:hAnsi="Times New Roman" w:cs="Times New Roman"/>
          <w:b/>
          <w:sz w:val="24"/>
          <w:szCs w:val="24"/>
          <w:lang w:eastAsia="pl-PL"/>
        </w:rPr>
      </w:pPr>
    </w:p>
    <w:p w:rsidR="00E75557" w:rsidRPr="002247E9" w:rsidRDefault="00E75557" w:rsidP="0039474D">
      <w:pPr>
        <w:tabs>
          <w:tab w:val="left" w:pos="426"/>
        </w:tabs>
        <w:spacing w:before="120" w:after="0" w:line="360" w:lineRule="auto"/>
        <w:ind w:left="425" w:hanging="425"/>
        <w:jc w:val="both"/>
        <w:rPr>
          <w:rFonts w:ascii="Times New Roman" w:eastAsia="Times New Roman" w:hAnsi="Times New Roman" w:cs="Times New Roman"/>
          <w:color w:val="000000" w:themeColor="text1"/>
          <w:sz w:val="24"/>
          <w:szCs w:val="24"/>
          <w:lang w:eastAsia="pl-PL"/>
        </w:rPr>
      </w:pPr>
      <w:r w:rsidRPr="002247E9">
        <w:rPr>
          <w:rFonts w:ascii="Times New Roman" w:eastAsia="Times New Roman" w:hAnsi="Times New Roman" w:cs="Times New Roman"/>
          <w:color w:val="000000" w:themeColor="text1"/>
          <w:sz w:val="24"/>
          <w:szCs w:val="24"/>
          <w:lang w:eastAsia="pl-PL"/>
        </w:rPr>
        <w:t>I.</w:t>
      </w:r>
      <w:r w:rsidRPr="002247E9">
        <w:rPr>
          <w:rFonts w:ascii="Times New Roman" w:eastAsia="Times New Roman" w:hAnsi="Times New Roman" w:cs="Times New Roman"/>
          <w:color w:val="000000" w:themeColor="text1"/>
          <w:sz w:val="24"/>
          <w:szCs w:val="24"/>
          <w:lang w:eastAsia="pl-PL"/>
        </w:rPr>
        <w:tab/>
      </w:r>
      <w:r w:rsidR="002B5D56" w:rsidRPr="002247E9">
        <w:rPr>
          <w:rFonts w:ascii="Times New Roman" w:eastAsia="Times New Roman" w:hAnsi="Times New Roman" w:cs="Times New Roman"/>
          <w:color w:val="000000" w:themeColor="text1"/>
          <w:sz w:val="24"/>
          <w:szCs w:val="24"/>
          <w:lang w:eastAsia="pl-PL"/>
        </w:rPr>
        <w:t>UZASADNIENIE POTRZEBY WPROWADZENIA ZMIAN PROPONOWANYCH W PROJEKCIE</w:t>
      </w:r>
      <w:r w:rsidR="00080AD8" w:rsidRPr="002247E9">
        <w:rPr>
          <w:rFonts w:ascii="Times New Roman" w:eastAsia="Times New Roman" w:hAnsi="Times New Roman" w:cs="Times New Roman"/>
          <w:color w:val="000000" w:themeColor="text1"/>
          <w:sz w:val="24"/>
          <w:szCs w:val="24"/>
          <w:lang w:eastAsia="pl-PL"/>
        </w:rPr>
        <w:t xml:space="preserve"> – UWARUNKOWANIA PRAWNE</w:t>
      </w:r>
    </w:p>
    <w:p w:rsidR="002B5D56" w:rsidRPr="0039474D" w:rsidRDefault="002B5D56" w:rsidP="0039474D">
      <w:pPr>
        <w:spacing w:before="120" w:after="0" w:line="360" w:lineRule="auto"/>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 xml:space="preserve">Podstawowym celem proponowanych zmian legislacyjnych jest określenie takich podstaw prawnych, które umożliwiały będą rozpoczęcie realizacji rządowego programu </w:t>
      </w:r>
      <w:r w:rsidR="00B438D9" w:rsidRPr="0039474D">
        <w:rPr>
          <w:rFonts w:ascii="Times New Roman" w:eastAsia="Calibri" w:hAnsi="Times New Roman" w:cs="Times New Roman"/>
          <w:sz w:val="24"/>
          <w:szCs w:val="24"/>
        </w:rPr>
        <w:t>popierania budownictwa mieszkaniowego</w:t>
      </w:r>
      <w:r w:rsidRPr="0039474D">
        <w:rPr>
          <w:rFonts w:ascii="Times New Roman" w:eastAsia="Calibri" w:hAnsi="Times New Roman" w:cs="Times New Roman"/>
          <w:sz w:val="24"/>
          <w:szCs w:val="24"/>
        </w:rPr>
        <w:t xml:space="preserve">, w formie preferencyjnych kredytów </w:t>
      </w:r>
      <w:r w:rsidR="005F5CB1" w:rsidRPr="0039474D">
        <w:rPr>
          <w:rFonts w:ascii="Times New Roman" w:eastAsia="Calibri" w:hAnsi="Times New Roman" w:cs="Times New Roman"/>
          <w:sz w:val="24"/>
          <w:szCs w:val="24"/>
        </w:rPr>
        <w:t xml:space="preserve">i </w:t>
      </w:r>
      <w:r w:rsidR="00FD7F0C" w:rsidRPr="0039474D">
        <w:rPr>
          <w:rFonts w:ascii="Times New Roman" w:eastAsia="Calibri" w:hAnsi="Times New Roman" w:cs="Times New Roman"/>
          <w:sz w:val="24"/>
          <w:szCs w:val="24"/>
        </w:rPr>
        <w:t xml:space="preserve">gwarancji nabycia emisji </w:t>
      </w:r>
      <w:r w:rsidR="005F5CB1" w:rsidRPr="0039474D">
        <w:rPr>
          <w:rFonts w:ascii="Times New Roman" w:eastAsia="Calibri" w:hAnsi="Times New Roman" w:cs="Times New Roman"/>
          <w:sz w:val="24"/>
          <w:szCs w:val="24"/>
        </w:rPr>
        <w:t xml:space="preserve">obligacji </w:t>
      </w:r>
      <w:r w:rsidRPr="0039474D">
        <w:rPr>
          <w:rFonts w:ascii="Times New Roman" w:eastAsia="Calibri" w:hAnsi="Times New Roman" w:cs="Times New Roman"/>
          <w:sz w:val="24"/>
          <w:szCs w:val="24"/>
        </w:rPr>
        <w:t xml:space="preserve">udzielanych przez Bank Gospodarstwa Krajowego (BGK). </w:t>
      </w:r>
    </w:p>
    <w:p w:rsidR="002B5D56" w:rsidRPr="0039474D" w:rsidRDefault="002B5D56" w:rsidP="0039474D">
      <w:pPr>
        <w:spacing w:before="120" w:after="0" w:line="360" w:lineRule="auto"/>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 xml:space="preserve">W </w:t>
      </w:r>
      <w:r w:rsidR="003E00FD" w:rsidRPr="0039474D">
        <w:rPr>
          <w:rFonts w:ascii="Times New Roman" w:eastAsia="Calibri" w:hAnsi="Times New Roman" w:cs="Times New Roman"/>
          <w:sz w:val="24"/>
          <w:szCs w:val="24"/>
        </w:rPr>
        <w:t>przedłożonej nowelizacji</w:t>
      </w:r>
      <w:r w:rsidRPr="0039474D">
        <w:rPr>
          <w:rFonts w:ascii="Times New Roman" w:eastAsia="Calibri" w:hAnsi="Times New Roman" w:cs="Times New Roman"/>
          <w:sz w:val="24"/>
          <w:szCs w:val="24"/>
        </w:rPr>
        <w:t xml:space="preserve"> do przepisów wprowadzone zostałyby zmiany pozwalające </w:t>
      </w:r>
      <w:r w:rsidR="00FD7F0C" w:rsidRPr="0039474D">
        <w:rPr>
          <w:rFonts w:ascii="Times New Roman" w:eastAsia="Calibri" w:hAnsi="Times New Roman" w:cs="Times New Roman"/>
          <w:sz w:val="24"/>
          <w:szCs w:val="24"/>
        </w:rPr>
        <w:t>na</w:t>
      </w:r>
      <w:r w:rsidRPr="0039474D">
        <w:rPr>
          <w:rFonts w:ascii="Times New Roman" w:eastAsia="Calibri" w:hAnsi="Times New Roman" w:cs="Times New Roman"/>
          <w:sz w:val="24"/>
          <w:szCs w:val="24"/>
        </w:rPr>
        <w:t xml:space="preserve"> finansowanie nowych inwestycji w ramach programu rządowego. W ocenie projektodawcy, popartej analizami prowadzonym</w:t>
      </w:r>
      <w:r w:rsidR="003E00FD" w:rsidRPr="0039474D">
        <w:rPr>
          <w:rFonts w:ascii="Times New Roman" w:eastAsia="Calibri" w:hAnsi="Times New Roman" w:cs="Times New Roman"/>
          <w:sz w:val="24"/>
          <w:szCs w:val="24"/>
        </w:rPr>
        <w:t>i</w:t>
      </w:r>
      <w:r w:rsidRPr="0039474D">
        <w:rPr>
          <w:rFonts w:ascii="Times New Roman" w:eastAsia="Calibri" w:hAnsi="Times New Roman" w:cs="Times New Roman"/>
          <w:sz w:val="24"/>
          <w:szCs w:val="24"/>
        </w:rPr>
        <w:t xml:space="preserve"> we współpracy z BGK, kontynuacja przez BGK akcji finansowania społecznego budownictwa na</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wynajem w oparciu o preferencyjny kredyt</w:t>
      </w:r>
      <w:r w:rsidR="00FD7F0C" w:rsidRPr="0039474D">
        <w:rPr>
          <w:rFonts w:ascii="Times New Roman" w:eastAsia="Calibri" w:hAnsi="Times New Roman" w:cs="Times New Roman"/>
          <w:sz w:val="24"/>
          <w:szCs w:val="24"/>
        </w:rPr>
        <w:t xml:space="preserve"> i gwarancje nabycia emisji obligacji</w:t>
      </w:r>
      <w:r w:rsidRPr="0039474D">
        <w:rPr>
          <w:rFonts w:ascii="Times New Roman" w:eastAsia="Calibri" w:hAnsi="Times New Roman" w:cs="Times New Roman"/>
          <w:sz w:val="24"/>
          <w:szCs w:val="24"/>
        </w:rPr>
        <w:t xml:space="preserve"> jest możliwa, ale działalność taka wymaga m.in. zmian ustawowych. Proponowane zmiany w</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ustawie o niektórych formach popierania budownictwa mieszkaniowego pozwalałyby adekwatnie uregulować wymagany model interwencji publicznej (po likwidacji K</w:t>
      </w:r>
      <w:r w:rsidR="00FD7F0C" w:rsidRPr="0039474D">
        <w:rPr>
          <w:rFonts w:ascii="Times New Roman" w:eastAsia="Calibri" w:hAnsi="Times New Roman" w:cs="Times New Roman"/>
          <w:sz w:val="24"/>
          <w:szCs w:val="24"/>
        </w:rPr>
        <w:t xml:space="preserve">rajowego </w:t>
      </w:r>
      <w:r w:rsidRPr="0039474D">
        <w:rPr>
          <w:rFonts w:ascii="Times New Roman" w:eastAsia="Calibri" w:hAnsi="Times New Roman" w:cs="Times New Roman"/>
          <w:sz w:val="24"/>
          <w:szCs w:val="24"/>
        </w:rPr>
        <w:t>F</w:t>
      </w:r>
      <w:r w:rsidR="00FD7F0C" w:rsidRPr="0039474D">
        <w:rPr>
          <w:rFonts w:ascii="Times New Roman" w:eastAsia="Calibri" w:hAnsi="Times New Roman" w:cs="Times New Roman"/>
          <w:sz w:val="24"/>
          <w:szCs w:val="24"/>
        </w:rPr>
        <w:t>undusz</w:t>
      </w:r>
      <w:r w:rsidR="004C42BD" w:rsidRPr="0039474D">
        <w:rPr>
          <w:rFonts w:ascii="Times New Roman" w:eastAsia="Calibri" w:hAnsi="Times New Roman" w:cs="Times New Roman"/>
          <w:sz w:val="24"/>
          <w:szCs w:val="24"/>
        </w:rPr>
        <w:t>u</w:t>
      </w:r>
      <w:r w:rsidR="00FD7F0C" w:rsidRPr="0039474D">
        <w:rPr>
          <w:rFonts w:ascii="Times New Roman" w:eastAsia="Calibri" w:hAnsi="Times New Roman" w:cs="Times New Roman"/>
          <w:sz w:val="24"/>
          <w:szCs w:val="24"/>
        </w:rPr>
        <w:t xml:space="preserve"> Mieszkaniowego</w:t>
      </w:r>
      <w:r w:rsidRPr="0039474D">
        <w:rPr>
          <w:rFonts w:ascii="Times New Roman" w:eastAsia="Calibri" w:hAnsi="Times New Roman" w:cs="Times New Roman"/>
          <w:sz w:val="24"/>
          <w:szCs w:val="24"/>
        </w:rPr>
        <w:t xml:space="preserve">), a tym samym umożliwić wdrożenie rządowego programu </w:t>
      </w:r>
      <w:r w:rsidR="00B438D9" w:rsidRPr="0039474D">
        <w:rPr>
          <w:rFonts w:ascii="Times New Roman" w:eastAsia="Calibri" w:hAnsi="Times New Roman" w:cs="Times New Roman"/>
          <w:sz w:val="24"/>
          <w:szCs w:val="24"/>
        </w:rPr>
        <w:t>popierania budownictwa mieszkaniowego</w:t>
      </w:r>
      <w:r w:rsidRPr="0039474D">
        <w:rPr>
          <w:rFonts w:ascii="Times New Roman" w:eastAsia="Calibri" w:hAnsi="Times New Roman" w:cs="Times New Roman"/>
          <w:sz w:val="24"/>
          <w:szCs w:val="24"/>
        </w:rPr>
        <w:t xml:space="preserve">. </w:t>
      </w:r>
    </w:p>
    <w:p w:rsidR="003D3AB6" w:rsidRPr="0039474D" w:rsidRDefault="003D3AB6" w:rsidP="0039474D">
      <w:pPr>
        <w:spacing w:before="120" w:after="0" w:line="360" w:lineRule="auto"/>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 xml:space="preserve">Zakłada się, że instrumentem wsparcia nowych przedsięwzięć będzie preferencyjny kredyt i </w:t>
      </w:r>
      <w:r w:rsidR="00FD7F0C" w:rsidRPr="0039474D">
        <w:rPr>
          <w:rFonts w:ascii="Times New Roman" w:eastAsia="Calibri" w:hAnsi="Times New Roman" w:cs="Times New Roman"/>
          <w:sz w:val="24"/>
          <w:szCs w:val="24"/>
        </w:rPr>
        <w:t xml:space="preserve">gwarancja nabycia </w:t>
      </w:r>
      <w:r w:rsidRPr="0039474D">
        <w:rPr>
          <w:rFonts w:ascii="Times New Roman" w:eastAsia="Calibri" w:hAnsi="Times New Roman" w:cs="Times New Roman"/>
          <w:sz w:val="24"/>
          <w:szCs w:val="24"/>
        </w:rPr>
        <w:t>emisj</w:t>
      </w:r>
      <w:r w:rsidR="00FD7F0C" w:rsidRPr="0039474D">
        <w:rPr>
          <w:rFonts w:ascii="Times New Roman" w:eastAsia="Calibri" w:hAnsi="Times New Roman" w:cs="Times New Roman"/>
          <w:sz w:val="24"/>
          <w:szCs w:val="24"/>
        </w:rPr>
        <w:t>i</w:t>
      </w:r>
      <w:r w:rsidRPr="0039474D">
        <w:rPr>
          <w:rFonts w:ascii="Times New Roman" w:eastAsia="Calibri" w:hAnsi="Times New Roman" w:cs="Times New Roman"/>
          <w:sz w:val="24"/>
          <w:szCs w:val="24"/>
        </w:rPr>
        <w:t xml:space="preserve"> obligacji przez Bank Gospodarstwa Krajowego. Przyjęty model wsparcia w części opierał się będzie tym samym na obecnych przepisach rozdziału 2a ustawy o niektórych formach popierania budownictwa mieszkaniowego. </w:t>
      </w:r>
    </w:p>
    <w:p w:rsidR="003D3AB6" w:rsidRPr="0039474D" w:rsidRDefault="003D3AB6" w:rsidP="0039474D">
      <w:pPr>
        <w:spacing w:before="120" w:after="0" w:line="360" w:lineRule="auto"/>
        <w:jc w:val="both"/>
        <w:rPr>
          <w:rFonts w:ascii="Times New Roman" w:eastAsia="Calibri" w:hAnsi="Times New Roman" w:cs="Times New Roman"/>
          <w:spacing w:val="4"/>
          <w:sz w:val="24"/>
          <w:szCs w:val="24"/>
        </w:rPr>
      </w:pPr>
      <w:r w:rsidRPr="0039474D">
        <w:rPr>
          <w:rFonts w:ascii="Times New Roman" w:eastAsia="Calibri" w:hAnsi="Times New Roman" w:cs="Times New Roman"/>
          <w:sz w:val="24"/>
          <w:szCs w:val="24"/>
        </w:rPr>
        <w:t>Jednocześnie, w wyniku prac koncepcyjnych prowadzonych przez Ministerstwo Infrastruktury i Rozwoju we współpracy z Bankiem Gospodarstwa</w:t>
      </w:r>
      <w:r w:rsidRPr="0039474D">
        <w:rPr>
          <w:rFonts w:ascii="Times New Roman" w:eastAsia="Calibri" w:hAnsi="Times New Roman" w:cs="Times New Roman"/>
          <w:spacing w:val="4"/>
          <w:sz w:val="24"/>
          <w:szCs w:val="24"/>
        </w:rPr>
        <w:t xml:space="preserve"> Krajowego, </w:t>
      </w:r>
      <w:r w:rsidRPr="0039474D">
        <w:rPr>
          <w:rFonts w:ascii="Times New Roman" w:eastAsia="Calibri" w:hAnsi="Times New Roman" w:cs="Times New Roman"/>
          <w:sz w:val="24"/>
          <w:szCs w:val="24"/>
        </w:rPr>
        <w:t>określone zostały p</w:t>
      </w:r>
      <w:r w:rsidRPr="0039474D">
        <w:rPr>
          <w:rFonts w:ascii="Times New Roman" w:eastAsia="Calibri" w:hAnsi="Times New Roman" w:cs="Times New Roman"/>
          <w:spacing w:val="4"/>
          <w:sz w:val="24"/>
          <w:szCs w:val="24"/>
        </w:rPr>
        <w:t>odstawowe zało</w:t>
      </w:r>
      <w:r w:rsidR="00DA1830" w:rsidRPr="0039474D">
        <w:rPr>
          <w:rFonts w:ascii="Times New Roman" w:eastAsia="Calibri" w:hAnsi="Times New Roman" w:cs="Times New Roman"/>
          <w:spacing w:val="4"/>
          <w:sz w:val="24"/>
          <w:szCs w:val="24"/>
        </w:rPr>
        <w:t xml:space="preserve">żenia instrumentu finansowania (kredyt i </w:t>
      </w:r>
      <w:r w:rsidR="00FD7F0C" w:rsidRPr="0039474D">
        <w:rPr>
          <w:rFonts w:ascii="Times New Roman" w:eastAsia="Calibri" w:hAnsi="Times New Roman" w:cs="Times New Roman"/>
          <w:spacing w:val="4"/>
          <w:sz w:val="24"/>
          <w:szCs w:val="24"/>
        </w:rPr>
        <w:t xml:space="preserve">gwarancja nabycia </w:t>
      </w:r>
      <w:r w:rsidR="00DA1830" w:rsidRPr="0039474D">
        <w:rPr>
          <w:rFonts w:ascii="Times New Roman" w:eastAsia="Calibri" w:hAnsi="Times New Roman" w:cs="Times New Roman"/>
          <w:spacing w:val="4"/>
          <w:sz w:val="24"/>
          <w:szCs w:val="24"/>
        </w:rPr>
        <w:t>emisj</w:t>
      </w:r>
      <w:r w:rsidR="00FD7F0C" w:rsidRPr="0039474D">
        <w:rPr>
          <w:rFonts w:ascii="Times New Roman" w:eastAsia="Calibri" w:hAnsi="Times New Roman" w:cs="Times New Roman"/>
          <w:spacing w:val="4"/>
          <w:sz w:val="24"/>
          <w:szCs w:val="24"/>
        </w:rPr>
        <w:t>i</w:t>
      </w:r>
      <w:r w:rsidR="00DA1830" w:rsidRPr="0039474D">
        <w:rPr>
          <w:rFonts w:ascii="Times New Roman" w:eastAsia="Calibri" w:hAnsi="Times New Roman" w:cs="Times New Roman"/>
          <w:spacing w:val="4"/>
          <w:sz w:val="24"/>
          <w:szCs w:val="24"/>
        </w:rPr>
        <w:t xml:space="preserve"> obligacji)</w:t>
      </w:r>
      <w:r w:rsidRPr="0039474D">
        <w:rPr>
          <w:rFonts w:ascii="Times New Roman" w:eastAsia="Calibri" w:hAnsi="Times New Roman" w:cs="Times New Roman"/>
          <w:spacing w:val="4"/>
          <w:sz w:val="24"/>
          <w:szCs w:val="24"/>
        </w:rPr>
        <w:t xml:space="preserve">. Założenia te wyznaczają również konieczny zakres zmian ustawowych. </w:t>
      </w:r>
    </w:p>
    <w:p w:rsidR="0009477B" w:rsidRPr="0039474D" w:rsidRDefault="003D3AB6" w:rsidP="0039474D">
      <w:pPr>
        <w:spacing w:before="120" w:after="0" w:line="360" w:lineRule="auto"/>
        <w:jc w:val="both"/>
        <w:rPr>
          <w:rFonts w:ascii="Times New Roman" w:eastAsia="Calibri" w:hAnsi="Times New Roman" w:cs="Times New Roman"/>
          <w:spacing w:val="4"/>
          <w:sz w:val="24"/>
          <w:szCs w:val="24"/>
        </w:rPr>
      </w:pPr>
      <w:r w:rsidRPr="0039474D">
        <w:rPr>
          <w:rFonts w:ascii="Times New Roman" w:eastAsia="Calibri" w:hAnsi="Times New Roman" w:cs="Times New Roman"/>
          <w:spacing w:val="4"/>
          <w:sz w:val="24"/>
          <w:szCs w:val="24"/>
        </w:rPr>
        <w:t>P</w:t>
      </w:r>
      <w:r w:rsidRPr="0039474D">
        <w:rPr>
          <w:rFonts w:ascii="Times New Roman" w:eastAsia="Calibri" w:hAnsi="Times New Roman" w:cs="Times New Roman"/>
          <w:sz w:val="24"/>
          <w:szCs w:val="24"/>
        </w:rPr>
        <w:t>ropozycje finansowania społecznego budownictwa czynszowego zakładają</w:t>
      </w:r>
      <w:r w:rsidRPr="0039474D">
        <w:rPr>
          <w:rFonts w:ascii="Times New Roman" w:eastAsia="Calibri" w:hAnsi="Times New Roman" w:cs="Times New Roman"/>
          <w:spacing w:val="4"/>
          <w:sz w:val="24"/>
          <w:szCs w:val="24"/>
        </w:rPr>
        <w:t xml:space="preserve"> w pierwszym etapie </w:t>
      </w:r>
      <w:r w:rsidR="00347B52" w:rsidRPr="0039474D">
        <w:rPr>
          <w:rFonts w:ascii="Times New Roman" w:eastAsia="Calibri" w:hAnsi="Times New Roman" w:cs="Times New Roman"/>
          <w:spacing w:val="4"/>
          <w:sz w:val="24"/>
          <w:szCs w:val="24"/>
        </w:rPr>
        <w:t>10</w:t>
      </w:r>
      <w:r w:rsidRPr="0039474D">
        <w:rPr>
          <w:rFonts w:ascii="Times New Roman" w:eastAsia="Calibri" w:hAnsi="Times New Roman" w:cs="Times New Roman"/>
          <w:spacing w:val="4"/>
          <w:sz w:val="24"/>
          <w:szCs w:val="24"/>
        </w:rPr>
        <w:t>-letni okres realizacji. Z uwagi na preferencyjny charakter instrumentu (preferencyjny kredyt</w:t>
      </w:r>
      <w:r w:rsidR="00DA1830" w:rsidRPr="0039474D">
        <w:rPr>
          <w:rFonts w:ascii="Times New Roman" w:eastAsia="Calibri" w:hAnsi="Times New Roman" w:cs="Times New Roman"/>
          <w:spacing w:val="4"/>
          <w:sz w:val="24"/>
          <w:szCs w:val="24"/>
        </w:rPr>
        <w:t xml:space="preserve"> lub </w:t>
      </w:r>
      <w:r w:rsidR="00FD7F0C" w:rsidRPr="0039474D">
        <w:rPr>
          <w:rFonts w:ascii="Times New Roman" w:eastAsia="Calibri" w:hAnsi="Times New Roman" w:cs="Times New Roman"/>
          <w:spacing w:val="4"/>
          <w:sz w:val="24"/>
          <w:szCs w:val="24"/>
        </w:rPr>
        <w:t xml:space="preserve">gwarancja nabycia </w:t>
      </w:r>
      <w:r w:rsidR="00DA1830" w:rsidRPr="0039474D">
        <w:rPr>
          <w:rFonts w:ascii="Times New Roman" w:eastAsia="Calibri" w:hAnsi="Times New Roman" w:cs="Times New Roman"/>
          <w:spacing w:val="4"/>
          <w:sz w:val="24"/>
          <w:szCs w:val="24"/>
        </w:rPr>
        <w:t>emisj</w:t>
      </w:r>
      <w:r w:rsidR="00FD7F0C" w:rsidRPr="0039474D">
        <w:rPr>
          <w:rFonts w:ascii="Times New Roman" w:eastAsia="Calibri" w:hAnsi="Times New Roman" w:cs="Times New Roman"/>
          <w:spacing w:val="4"/>
          <w:sz w:val="24"/>
          <w:szCs w:val="24"/>
        </w:rPr>
        <w:t>i</w:t>
      </w:r>
      <w:r w:rsidR="00DA1830" w:rsidRPr="0039474D">
        <w:rPr>
          <w:rFonts w:ascii="Times New Roman" w:eastAsia="Calibri" w:hAnsi="Times New Roman" w:cs="Times New Roman"/>
          <w:spacing w:val="4"/>
          <w:sz w:val="24"/>
          <w:szCs w:val="24"/>
        </w:rPr>
        <w:t xml:space="preserve"> obligacji</w:t>
      </w:r>
      <w:r w:rsidRPr="0039474D">
        <w:rPr>
          <w:rFonts w:ascii="Times New Roman" w:eastAsia="Calibri" w:hAnsi="Times New Roman" w:cs="Times New Roman"/>
          <w:spacing w:val="4"/>
          <w:sz w:val="24"/>
          <w:szCs w:val="24"/>
        </w:rPr>
        <w:t xml:space="preserve">, oprocentowany w formule stopy zmiennej wg stawki WIBOR </w:t>
      </w:r>
      <w:r w:rsidR="00684D58" w:rsidRPr="0039474D">
        <w:rPr>
          <w:rFonts w:ascii="Times New Roman" w:eastAsia="Calibri" w:hAnsi="Times New Roman" w:cs="Times New Roman"/>
          <w:spacing w:val="4"/>
          <w:sz w:val="24"/>
          <w:szCs w:val="24"/>
        </w:rPr>
        <w:t>3</w:t>
      </w:r>
      <w:r w:rsidRPr="0039474D">
        <w:rPr>
          <w:rFonts w:ascii="Times New Roman" w:eastAsia="Calibri" w:hAnsi="Times New Roman" w:cs="Times New Roman"/>
          <w:spacing w:val="4"/>
          <w:sz w:val="24"/>
          <w:szCs w:val="24"/>
        </w:rPr>
        <w:t xml:space="preserve">M bez marży) zakłada się, że wymaganą formą wsparcia ze środków publicznych będzie dopłata dla BGK warunkująca zachowanie </w:t>
      </w:r>
      <w:r w:rsidRPr="0039474D">
        <w:rPr>
          <w:rFonts w:ascii="Times New Roman" w:eastAsia="Calibri" w:hAnsi="Times New Roman" w:cs="Times New Roman"/>
          <w:spacing w:val="4"/>
          <w:sz w:val="24"/>
          <w:szCs w:val="24"/>
        </w:rPr>
        <w:lastRenderedPageBreak/>
        <w:t>preferencyjnych warunków finansowania, pokrywająca różnicę między oprocentowaniem nominalnym a</w:t>
      </w:r>
      <w:r w:rsidR="00F749A5">
        <w:rPr>
          <w:rFonts w:ascii="Times New Roman" w:eastAsia="Calibri" w:hAnsi="Times New Roman" w:cs="Times New Roman"/>
          <w:spacing w:val="4"/>
          <w:sz w:val="24"/>
          <w:szCs w:val="24"/>
        </w:rPr>
        <w:t xml:space="preserve"> </w:t>
      </w:r>
      <w:r w:rsidRPr="0039474D">
        <w:rPr>
          <w:rFonts w:ascii="Times New Roman" w:eastAsia="Calibri" w:hAnsi="Times New Roman" w:cs="Times New Roman"/>
          <w:spacing w:val="4"/>
          <w:sz w:val="24"/>
          <w:szCs w:val="24"/>
        </w:rPr>
        <w:t xml:space="preserve">preferencyjnym. </w:t>
      </w:r>
    </w:p>
    <w:p w:rsidR="003D3AB6" w:rsidRPr="0039474D" w:rsidRDefault="003D3AB6" w:rsidP="0039474D">
      <w:pPr>
        <w:spacing w:before="120" w:after="0" w:line="360" w:lineRule="auto"/>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Uwzględniając powyższe, pierwsza grupa rozwiązań ujętych w projekcie skoncentrowana będzie na zmianie przepisów dotyczących warunków</w:t>
      </w:r>
      <w:r w:rsidR="004C42BD" w:rsidRPr="0039474D">
        <w:rPr>
          <w:rFonts w:ascii="Times New Roman" w:eastAsia="Calibri" w:hAnsi="Times New Roman" w:cs="Times New Roman"/>
          <w:sz w:val="24"/>
          <w:szCs w:val="24"/>
        </w:rPr>
        <w:t>,</w:t>
      </w:r>
      <w:r w:rsidRPr="0039474D">
        <w:rPr>
          <w:rFonts w:ascii="Times New Roman" w:eastAsia="Calibri" w:hAnsi="Times New Roman" w:cs="Times New Roman"/>
          <w:sz w:val="24"/>
          <w:szCs w:val="24"/>
        </w:rPr>
        <w:t xml:space="preserve"> na jakich, po likwidacji dedykowanego funduszu, BGK będzie finansował społeczne budownictwo czynszowe w ramach realizacji programu rządowego. Istota zakładanych zmian obejmie w tym przypadku:</w:t>
      </w:r>
    </w:p>
    <w:p w:rsidR="003D3AB6" w:rsidRPr="0039474D" w:rsidRDefault="003D3AB6" w:rsidP="00F749A5">
      <w:pPr>
        <w:numPr>
          <w:ilvl w:val="0"/>
          <w:numId w:val="27"/>
        </w:numPr>
        <w:spacing w:after="0" w:line="360" w:lineRule="auto"/>
        <w:ind w:left="318" w:hanging="284"/>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weryfikację zakresu podmiotowego i przedmiotowego programu wsparcia – zapewnienie podstaw ustawowych dla doprecyzowania, w aktach i dokumentach niższej rangi, warunków prowadzenia akcji kredytowania zgodnej z</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poniższą charakterystyką wspieranego segmentu rynku:</w:t>
      </w:r>
    </w:p>
    <w:p w:rsidR="003D3AB6" w:rsidRPr="0039474D" w:rsidRDefault="003D3AB6" w:rsidP="00F749A5">
      <w:pPr>
        <w:numPr>
          <w:ilvl w:val="0"/>
          <w:numId w:val="32"/>
        </w:numPr>
        <w:spacing w:after="0" w:line="360" w:lineRule="auto"/>
        <w:ind w:left="602" w:hanging="284"/>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zakłada się, że nowy program będzie jednym z instrumentów lokalnej polityki mieszkaniowej gmin, oferując preferencyjne finansowanie przedsięwzięć społecznego budownictwa czynszowego, kierowane do inwestorów działających w oparciu o</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zawartą z gminą umowę (umożliwienie uzyskania finansowego wsparcia również spółkom gminnym)</w:t>
      </w:r>
      <w:r w:rsidR="005849CE">
        <w:rPr>
          <w:rFonts w:ascii="Times New Roman" w:eastAsia="Calibri" w:hAnsi="Times New Roman" w:cs="Times New Roman"/>
          <w:sz w:val="24"/>
          <w:szCs w:val="24"/>
        </w:rPr>
        <w:t>,</w:t>
      </w:r>
    </w:p>
    <w:p w:rsidR="003D3AB6" w:rsidRPr="0039474D" w:rsidRDefault="003D3AB6" w:rsidP="00F749A5">
      <w:pPr>
        <w:numPr>
          <w:ilvl w:val="0"/>
          <w:numId w:val="32"/>
        </w:numPr>
        <w:spacing w:after="0" w:line="360" w:lineRule="auto"/>
        <w:ind w:left="602" w:hanging="284"/>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adresatami mieszkań będą osoby o umiarkowanych dochodach, w szczególności rodziny z dziećmi</w:t>
      </w:r>
      <w:r w:rsidR="005849CE">
        <w:rPr>
          <w:rFonts w:ascii="Times New Roman" w:eastAsia="Calibri" w:hAnsi="Times New Roman" w:cs="Times New Roman"/>
          <w:sz w:val="24"/>
          <w:szCs w:val="24"/>
        </w:rPr>
        <w:t>,</w:t>
      </w:r>
    </w:p>
    <w:p w:rsidR="003D3AB6" w:rsidRPr="0039474D" w:rsidRDefault="003D3AB6" w:rsidP="00F749A5">
      <w:pPr>
        <w:numPr>
          <w:ilvl w:val="0"/>
          <w:numId w:val="32"/>
        </w:numPr>
        <w:spacing w:after="0" w:line="360" w:lineRule="auto"/>
        <w:ind w:left="602" w:hanging="284"/>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program wypełni lukę w dostępie do instrumentów wsparcia mieszkalnictwa, przy czym wybór przedsięwzięć do finansowania byłby dokonywany przy wykorzystaniu zestawu kryteriów uwzględniających społeczne i techniczne uwarunkowania planowanego</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przedsięwzięcia, jak również ocenę planowanej inwestycji w kontekście lokalnej polityki mieszkaniowej</w:t>
      </w:r>
      <w:r w:rsidR="005849CE">
        <w:rPr>
          <w:rFonts w:ascii="Times New Roman" w:eastAsia="Calibri" w:hAnsi="Times New Roman" w:cs="Times New Roman"/>
          <w:sz w:val="24"/>
          <w:szCs w:val="24"/>
        </w:rPr>
        <w:t>,</w:t>
      </w:r>
    </w:p>
    <w:p w:rsidR="00B438D9" w:rsidRPr="0039474D" w:rsidRDefault="00B438D9" w:rsidP="00F749A5">
      <w:pPr>
        <w:numPr>
          <w:ilvl w:val="0"/>
          <w:numId w:val="32"/>
        </w:numPr>
        <w:spacing w:after="0" w:line="360" w:lineRule="auto"/>
        <w:ind w:left="602" w:hanging="284"/>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finansowanie udzielane w ramach rządowego programu</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stanowić będzie rekompensatę z tytułu świadczenia usług publicznych w rozumieniu przepisów Unii Europejskiej;</w:t>
      </w:r>
    </w:p>
    <w:p w:rsidR="003D3AB6" w:rsidRPr="0039474D" w:rsidRDefault="003D3AB6" w:rsidP="00F749A5">
      <w:pPr>
        <w:numPr>
          <w:ilvl w:val="0"/>
          <w:numId w:val="27"/>
        </w:numPr>
        <w:tabs>
          <w:tab w:val="left" w:pos="318"/>
        </w:tabs>
        <w:spacing w:after="0" w:line="360" w:lineRule="auto"/>
        <w:ind w:left="318" w:hanging="284"/>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zapewnienie możliwości prowadzenia preferencyjnej akcji kredytowej przez B</w:t>
      </w:r>
      <w:r w:rsidR="004C42BD" w:rsidRPr="0039474D">
        <w:rPr>
          <w:rFonts w:ascii="Times New Roman" w:eastAsia="Calibri" w:hAnsi="Times New Roman" w:cs="Times New Roman"/>
          <w:sz w:val="24"/>
          <w:szCs w:val="24"/>
        </w:rPr>
        <w:t>GK</w:t>
      </w:r>
      <w:r w:rsidRPr="0039474D">
        <w:rPr>
          <w:rFonts w:ascii="Times New Roman" w:eastAsia="Calibri" w:hAnsi="Times New Roman" w:cs="Times New Roman"/>
          <w:sz w:val="24"/>
          <w:szCs w:val="24"/>
        </w:rPr>
        <w:t xml:space="preserve"> w ramach działalności własnej, w</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szczególności przez:</w:t>
      </w:r>
    </w:p>
    <w:p w:rsidR="003D3AB6" w:rsidRPr="0039474D" w:rsidRDefault="003D3AB6" w:rsidP="00F749A5">
      <w:pPr>
        <w:numPr>
          <w:ilvl w:val="0"/>
          <w:numId w:val="28"/>
        </w:numPr>
        <w:spacing w:after="0" w:line="360" w:lineRule="auto"/>
        <w:ind w:left="602" w:hanging="284"/>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urealnienie obecn</w:t>
      </w:r>
      <w:r w:rsidR="004C42BD" w:rsidRPr="0039474D">
        <w:rPr>
          <w:rFonts w:ascii="Times New Roman" w:eastAsia="Calibri" w:hAnsi="Times New Roman" w:cs="Times New Roman"/>
          <w:sz w:val="24"/>
          <w:szCs w:val="24"/>
        </w:rPr>
        <w:t>ego</w:t>
      </w:r>
      <w:r w:rsidR="006412AE" w:rsidRPr="0039474D">
        <w:rPr>
          <w:rFonts w:ascii="Times New Roman" w:eastAsia="Calibri" w:hAnsi="Times New Roman" w:cs="Times New Roman"/>
          <w:sz w:val="24"/>
          <w:szCs w:val="24"/>
        </w:rPr>
        <w:t xml:space="preserve"> w </w:t>
      </w:r>
      <w:r w:rsidR="004C42BD" w:rsidRPr="0039474D">
        <w:rPr>
          <w:rFonts w:ascii="Times New Roman" w:eastAsia="Calibri" w:hAnsi="Times New Roman" w:cs="Times New Roman"/>
          <w:sz w:val="24"/>
          <w:szCs w:val="24"/>
        </w:rPr>
        <w:t>delegacji upoważnienia ustawowego wraz z wytycznymi,</w:t>
      </w:r>
      <w:r w:rsidRPr="0039474D">
        <w:rPr>
          <w:rFonts w:ascii="Times New Roman" w:eastAsia="Calibri" w:hAnsi="Times New Roman" w:cs="Times New Roman"/>
          <w:sz w:val="24"/>
          <w:szCs w:val="24"/>
        </w:rPr>
        <w:t xml:space="preserve"> zawartych w ar</w:t>
      </w:r>
      <w:r w:rsidR="001E6D5F" w:rsidRPr="0039474D">
        <w:rPr>
          <w:rFonts w:ascii="Times New Roman" w:eastAsia="Calibri" w:hAnsi="Times New Roman" w:cs="Times New Roman"/>
          <w:sz w:val="24"/>
          <w:szCs w:val="24"/>
        </w:rPr>
        <w:t>t</w:t>
      </w:r>
      <w:r w:rsidRPr="0039474D">
        <w:rPr>
          <w:rFonts w:ascii="Times New Roman" w:eastAsia="Calibri" w:hAnsi="Times New Roman" w:cs="Times New Roman"/>
          <w:sz w:val="24"/>
          <w:szCs w:val="24"/>
        </w:rPr>
        <w:t>. 15b ustawy o niektórych formach popierania budownictwa mieszkaniowego (w szczególności odejście od nieznajdującego oparcia w</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realiach rynku i budżetu parametru maksymalnej stopy oprocentowania, jaki określają dzisiaj wytyczne w</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art.</w:t>
      </w:r>
      <w:r w:rsidR="00F749A5">
        <w:rPr>
          <w:rFonts w:ascii="Times New Roman" w:eastAsia="Calibri" w:hAnsi="Times New Roman" w:cs="Times New Roman"/>
          <w:sz w:val="24"/>
          <w:szCs w:val="24"/>
        </w:rPr>
        <w:t> </w:t>
      </w:r>
      <w:r w:rsidRPr="0039474D">
        <w:rPr>
          <w:rFonts w:ascii="Times New Roman" w:eastAsia="Calibri" w:hAnsi="Times New Roman" w:cs="Times New Roman"/>
          <w:sz w:val="24"/>
          <w:szCs w:val="24"/>
        </w:rPr>
        <w:t>15b ust. 2 pkt 1 ustawy)</w:t>
      </w:r>
      <w:r w:rsidR="005849CE">
        <w:rPr>
          <w:rFonts w:ascii="Times New Roman" w:eastAsia="Calibri" w:hAnsi="Times New Roman" w:cs="Times New Roman"/>
          <w:sz w:val="24"/>
          <w:szCs w:val="24"/>
        </w:rPr>
        <w:t>,</w:t>
      </w:r>
    </w:p>
    <w:p w:rsidR="003D3AB6" w:rsidRPr="0039474D" w:rsidRDefault="003D3AB6" w:rsidP="00F749A5">
      <w:pPr>
        <w:numPr>
          <w:ilvl w:val="0"/>
          <w:numId w:val="28"/>
        </w:numPr>
        <w:spacing w:after="0" w:line="360" w:lineRule="auto"/>
        <w:ind w:left="602" w:hanging="284"/>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lastRenderedPageBreak/>
        <w:t>zmianę modelu dofinansowania programu ze środków budżetu państwa (odejście od modelu dofinansowania funduszu statutowego BGK na rzecz dopłat do oprocentowania)</w:t>
      </w:r>
      <w:r w:rsidR="005849CE">
        <w:rPr>
          <w:rFonts w:ascii="Times New Roman" w:eastAsia="Calibri" w:hAnsi="Times New Roman" w:cs="Times New Roman"/>
          <w:sz w:val="24"/>
          <w:szCs w:val="24"/>
        </w:rPr>
        <w:t>,</w:t>
      </w:r>
    </w:p>
    <w:p w:rsidR="003D3AB6" w:rsidRPr="0039474D" w:rsidRDefault="003D3AB6" w:rsidP="00F749A5">
      <w:pPr>
        <w:numPr>
          <w:ilvl w:val="0"/>
          <w:numId w:val="28"/>
        </w:numPr>
        <w:spacing w:after="0" w:line="360" w:lineRule="auto"/>
        <w:ind w:left="602" w:hanging="284"/>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określenie mechanizmu stosowania dopłat do oprocentowania, zapewniającego adekwatną do programu formułę planowania i</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przekazywania środków (Fundusz Dopłat w BGK).</w:t>
      </w:r>
    </w:p>
    <w:p w:rsidR="003D3AB6" w:rsidRPr="0039474D" w:rsidRDefault="003D3AB6" w:rsidP="0039474D">
      <w:pPr>
        <w:spacing w:before="120" w:after="0" w:line="360" w:lineRule="auto"/>
        <w:jc w:val="both"/>
        <w:rPr>
          <w:rFonts w:ascii="Times New Roman" w:eastAsia="Calibri" w:hAnsi="Times New Roman" w:cs="Times New Roman"/>
          <w:spacing w:val="4"/>
          <w:sz w:val="24"/>
          <w:szCs w:val="24"/>
        </w:rPr>
      </w:pPr>
      <w:r w:rsidRPr="0039474D">
        <w:rPr>
          <w:rFonts w:ascii="Times New Roman" w:eastAsia="Calibri" w:hAnsi="Times New Roman" w:cs="Times New Roman"/>
          <w:sz w:val="24"/>
          <w:szCs w:val="24"/>
        </w:rPr>
        <w:t xml:space="preserve">W pozostałym zakresie zakłada się modyfikację przepisów określających zasady prowadzenia działalności w zasobach mieszkaniowych </w:t>
      </w:r>
      <w:r w:rsidR="00C73610" w:rsidRPr="0039474D">
        <w:rPr>
          <w:rFonts w:ascii="Times New Roman" w:eastAsia="Calibri" w:hAnsi="Times New Roman" w:cs="Times New Roman"/>
          <w:sz w:val="24"/>
          <w:szCs w:val="24"/>
        </w:rPr>
        <w:t>TBS</w:t>
      </w:r>
      <w:r w:rsidR="00480349" w:rsidRPr="0039474D">
        <w:rPr>
          <w:rFonts w:ascii="Times New Roman" w:eastAsia="Calibri" w:hAnsi="Times New Roman" w:cs="Times New Roman"/>
          <w:sz w:val="24"/>
          <w:szCs w:val="24"/>
        </w:rPr>
        <w:t>-ów</w:t>
      </w:r>
      <w:r w:rsidRPr="0039474D">
        <w:rPr>
          <w:rFonts w:ascii="Times New Roman" w:eastAsia="Calibri" w:hAnsi="Times New Roman" w:cs="Times New Roman"/>
          <w:sz w:val="24"/>
          <w:szCs w:val="24"/>
        </w:rPr>
        <w:t xml:space="preserve"> powstających w ramach nowego programu wsparcia. Zmiany ustawowe umożliwiać powinny osiąganie zakładanego adresowania programu (</w:t>
      </w:r>
      <w:r w:rsidRPr="0039474D">
        <w:rPr>
          <w:rFonts w:ascii="Times New Roman" w:eastAsia="Calibri" w:hAnsi="Times New Roman" w:cs="Times New Roman"/>
          <w:spacing w:val="4"/>
          <w:sz w:val="24"/>
          <w:szCs w:val="24"/>
        </w:rPr>
        <w:t xml:space="preserve">wypełnienie luki </w:t>
      </w:r>
      <w:r w:rsidRPr="0039474D">
        <w:rPr>
          <w:rFonts w:ascii="Times New Roman" w:eastAsia="Calibri" w:hAnsi="Times New Roman" w:cs="Times New Roman"/>
          <w:sz w:val="24"/>
          <w:szCs w:val="24"/>
        </w:rPr>
        <w:t>w dostępie do instrumentów wsparcia mieszkalnictwa przez adresowanie wsparcia do gospodarstw o dochodach mie</w:t>
      </w:r>
      <w:r w:rsidRPr="0039474D">
        <w:rPr>
          <w:rFonts w:ascii="Times New Roman" w:eastAsia="Calibri" w:hAnsi="Times New Roman" w:cs="Times New Roman"/>
          <w:spacing w:val="4"/>
          <w:sz w:val="24"/>
          <w:szCs w:val="24"/>
        </w:rPr>
        <w:t>szczących się w ok</w:t>
      </w:r>
      <w:r w:rsidR="00EF7B6B" w:rsidRPr="0039474D">
        <w:rPr>
          <w:rFonts w:ascii="Times New Roman" w:eastAsia="Calibri" w:hAnsi="Times New Roman" w:cs="Times New Roman"/>
          <w:spacing w:val="4"/>
          <w:sz w:val="24"/>
          <w:szCs w:val="24"/>
        </w:rPr>
        <w:t>oło</w:t>
      </w:r>
      <w:r w:rsidRPr="0039474D">
        <w:rPr>
          <w:rFonts w:ascii="Times New Roman" w:eastAsia="Calibri" w:hAnsi="Times New Roman" w:cs="Times New Roman"/>
          <w:spacing w:val="4"/>
          <w:sz w:val="24"/>
          <w:szCs w:val="24"/>
        </w:rPr>
        <w:t xml:space="preserve"> III do V</w:t>
      </w:r>
      <w:r w:rsidR="00B438D9" w:rsidRPr="0039474D">
        <w:rPr>
          <w:rFonts w:ascii="Times New Roman" w:eastAsia="Calibri" w:hAnsi="Times New Roman" w:cs="Times New Roman"/>
          <w:spacing w:val="4"/>
          <w:sz w:val="24"/>
          <w:szCs w:val="24"/>
        </w:rPr>
        <w:t>I</w:t>
      </w:r>
      <w:r w:rsidRPr="0039474D">
        <w:rPr>
          <w:rFonts w:ascii="Times New Roman" w:eastAsia="Calibri" w:hAnsi="Times New Roman" w:cs="Times New Roman"/>
          <w:spacing w:val="4"/>
          <w:sz w:val="24"/>
          <w:szCs w:val="24"/>
        </w:rPr>
        <w:t xml:space="preserve">I decyla rozkładu wynagrodzeń), przy jednoczesnym zapewnieniu możliwości obsługi zaciągniętego </w:t>
      </w:r>
      <w:r w:rsidR="0015371A" w:rsidRPr="0039474D">
        <w:rPr>
          <w:rFonts w:ascii="Times New Roman" w:eastAsia="Calibri" w:hAnsi="Times New Roman" w:cs="Times New Roman"/>
          <w:spacing w:val="4"/>
          <w:sz w:val="24"/>
          <w:szCs w:val="24"/>
        </w:rPr>
        <w:t>przez towarzystwo budownictwa społecznego, spółkę gminą bądź spółdzielnię mieszkaniow</w:t>
      </w:r>
      <w:r w:rsidR="00316FE7" w:rsidRPr="0039474D">
        <w:rPr>
          <w:rFonts w:ascii="Times New Roman" w:eastAsia="Calibri" w:hAnsi="Times New Roman" w:cs="Times New Roman"/>
          <w:spacing w:val="4"/>
          <w:sz w:val="24"/>
          <w:szCs w:val="24"/>
        </w:rPr>
        <w:t>ą</w:t>
      </w:r>
      <w:r w:rsidR="0015371A" w:rsidRPr="0039474D">
        <w:rPr>
          <w:rFonts w:ascii="Times New Roman" w:eastAsia="Calibri" w:hAnsi="Times New Roman" w:cs="Times New Roman"/>
          <w:spacing w:val="4"/>
          <w:sz w:val="24"/>
          <w:szCs w:val="24"/>
        </w:rPr>
        <w:t xml:space="preserve"> </w:t>
      </w:r>
      <w:r w:rsidRPr="0039474D">
        <w:rPr>
          <w:rFonts w:ascii="Times New Roman" w:eastAsia="Calibri" w:hAnsi="Times New Roman" w:cs="Times New Roman"/>
          <w:spacing w:val="4"/>
          <w:sz w:val="24"/>
          <w:szCs w:val="24"/>
        </w:rPr>
        <w:t>zobowiązania kredytowego wraz z racjonalną eksploatacją nowych zasobów mieszkalnych. W ramach tej ostatniej grupy istotą projektowanych rozwiązań będzie dostosowanie obecnych przepisów ustawy do przedsięwzięć realizowanych w</w:t>
      </w:r>
      <w:r w:rsidR="00F749A5">
        <w:rPr>
          <w:rFonts w:ascii="Times New Roman" w:eastAsia="Calibri" w:hAnsi="Times New Roman" w:cs="Times New Roman"/>
          <w:spacing w:val="4"/>
          <w:sz w:val="24"/>
          <w:szCs w:val="24"/>
        </w:rPr>
        <w:t xml:space="preserve"> </w:t>
      </w:r>
      <w:r w:rsidRPr="0039474D">
        <w:rPr>
          <w:rFonts w:ascii="Times New Roman" w:eastAsia="Calibri" w:hAnsi="Times New Roman" w:cs="Times New Roman"/>
          <w:spacing w:val="4"/>
          <w:sz w:val="24"/>
          <w:szCs w:val="24"/>
        </w:rPr>
        <w:t>ramach rządowego programu w zakresie:</w:t>
      </w:r>
    </w:p>
    <w:p w:rsidR="003D3AB6" w:rsidRPr="0039474D" w:rsidRDefault="003D3AB6" w:rsidP="00F749A5">
      <w:pPr>
        <w:numPr>
          <w:ilvl w:val="0"/>
          <w:numId w:val="33"/>
        </w:numPr>
        <w:spacing w:before="120" w:after="0" w:line="360" w:lineRule="auto"/>
        <w:ind w:left="284" w:hanging="284"/>
        <w:contextualSpacing/>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partycypacji lokatora w kosztach budowy lokalu – ustawa powinna zapewniać rotacyjny charakter mieszkań społecznych, jednak przy zachowaniu pewnych możliwości wykorzystania formuły partycypacji lokatora (obniżenie obecnego limitu maksymalnej wysokości partycypacji lokatora w przypadku mieszkań budowanych w</w:t>
      </w:r>
      <w:r w:rsidR="00F749A5">
        <w:rPr>
          <w:rFonts w:ascii="Times New Roman" w:eastAsia="Calibri" w:hAnsi="Times New Roman" w:cs="Times New Roman"/>
          <w:sz w:val="24"/>
          <w:szCs w:val="24"/>
        </w:rPr>
        <w:t xml:space="preserve"> </w:t>
      </w:r>
      <w:r w:rsidRPr="0039474D">
        <w:rPr>
          <w:rFonts w:ascii="Times New Roman" w:eastAsia="Calibri" w:hAnsi="Times New Roman" w:cs="Times New Roman"/>
          <w:sz w:val="24"/>
          <w:szCs w:val="24"/>
        </w:rPr>
        <w:t>ramach nowego programu; preferencja dla projektów</w:t>
      </w:r>
      <w:r w:rsidR="004C42BD" w:rsidRPr="0039474D">
        <w:rPr>
          <w:rFonts w:ascii="Times New Roman" w:eastAsia="Calibri" w:hAnsi="Times New Roman" w:cs="Times New Roman"/>
          <w:sz w:val="24"/>
          <w:szCs w:val="24"/>
        </w:rPr>
        <w:t>,</w:t>
      </w:r>
      <w:r w:rsidRPr="0039474D">
        <w:rPr>
          <w:rFonts w:ascii="Times New Roman" w:eastAsia="Calibri" w:hAnsi="Times New Roman" w:cs="Times New Roman"/>
          <w:sz w:val="24"/>
          <w:szCs w:val="24"/>
        </w:rPr>
        <w:t xml:space="preserve"> w których osiągni</w:t>
      </w:r>
      <w:r w:rsidR="004C42BD" w:rsidRPr="0039474D">
        <w:rPr>
          <w:rFonts w:ascii="Times New Roman" w:eastAsia="Calibri" w:hAnsi="Times New Roman" w:cs="Times New Roman"/>
          <w:sz w:val="24"/>
          <w:szCs w:val="24"/>
        </w:rPr>
        <w:t>ę</w:t>
      </w:r>
      <w:r w:rsidRPr="0039474D">
        <w:rPr>
          <w:rFonts w:ascii="Times New Roman" w:eastAsia="Calibri" w:hAnsi="Times New Roman" w:cs="Times New Roman"/>
          <w:sz w:val="24"/>
          <w:szCs w:val="24"/>
        </w:rPr>
        <w:t>cie niskiego poziomu czynszów będzie możliwe przy braku partycypacji lokatora)</w:t>
      </w:r>
      <w:r w:rsidR="005849CE">
        <w:rPr>
          <w:rFonts w:ascii="Times New Roman" w:eastAsia="Calibri" w:hAnsi="Times New Roman" w:cs="Times New Roman"/>
          <w:sz w:val="24"/>
          <w:szCs w:val="24"/>
        </w:rPr>
        <w:t>,</w:t>
      </w:r>
    </w:p>
    <w:p w:rsidR="003D3AB6" w:rsidRPr="0039474D" w:rsidRDefault="003D3AB6" w:rsidP="00F749A5">
      <w:pPr>
        <w:numPr>
          <w:ilvl w:val="0"/>
          <w:numId w:val="33"/>
        </w:numPr>
        <w:spacing w:before="120" w:after="0" w:line="360" w:lineRule="auto"/>
        <w:ind w:left="284" w:hanging="284"/>
        <w:contextualSpacing/>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zasad weryfikacji dochodów najemcy w odniesieniu do nowych mieszkań społecznych (większa częstotliwość, odejście od obecnej dowolności stosowania przez właściciela sankcji w postaci podwyższenia czynszu)</w:t>
      </w:r>
      <w:r w:rsidR="005849CE">
        <w:rPr>
          <w:rFonts w:ascii="Times New Roman" w:eastAsia="Calibri" w:hAnsi="Times New Roman" w:cs="Times New Roman"/>
          <w:sz w:val="24"/>
          <w:szCs w:val="24"/>
        </w:rPr>
        <w:t>,</w:t>
      </w:r>
    </w:p>
    <w:p w:rsidR="003D3AB6" w:rsidRPr="0039474D" w:rsidRDefault="003D3AB6" w:rsidP="00F749A5">
      <w:pPr>
        <w:numPr>
          <w:ilvl w:val="0"/>
          <w:numId w:val="33"/>
        </w:numPr>
        <w:spacing w:before="120" w:after="0" w:line="360" w:lineRule="auto"/>
        <w:ind w:left="284" w:hanging="284"/>
        <w:contextualSpacing/>
        <w:jc w:val="both"/>
        <w:rPr>
          <w:rFonts w:ascii="Times New Roman" w:eastAsia="Calibri" w:hAnsi="Times New Roman" w:cs="Times New Roman"/>
          <w:sz w:val="24"/>
          <w:szCs w:val="24"/>
        </w:rPr>
      </w:pPr>
      <w:r w:rsidRPr="0039474D">
        <w:rPr>
          <w:rFonts w:ascii="Times New Roman" w:eastAsia="Calibri" w:hAnsi="Times New Roman" w:cs="Times New Roman"/>
          <w:sz w:val="24"/>
          <w:szCs w:val="24"/>
        </w:rPr>
        <w:t xml:space="preserve">maksymalnej wysokości czynszu za najem mieszkań wybudowanych w ramach nowego programu (określony obecnie limit wysokości czynszu w zasobach </w:t>
      </w:r>
      <w:r w:rsidR="00C73610" w:rsidRPr="0039474D">
        <w:rPr>
          <w:rFonts w:ascii="Times New Roman" w:eastAsia="Calibri" w:hAnsi="Times New Roman" w:cs="Times New Roman"/>
          <w:sz w:val="24"/>
          <w:szCs w:val="24"/>
        </w:rPr>
        <w:t>TBS</w:t>
      </w:r>
      <w:r w:rsidR="00480349" w:rsidRPr="0039474D">
        <w:rPr>
          <w:rFonts w:ascii="Times New Roman" w:eastAsia="Calibri" w:hAnsi="Times New Roman" w:cs="Times New Roman"/>
          <w:sz w:val="24"/>
          <w:szCs w:val="24"/>
        </w:rPr>
        <w:t>-ów</w:t>
      </w:r>
      <w:r w:rsidRPr="0039474D">
        <w:rPr>
          <w:rFonts w:ascii="Times New Roman" w:eastAsia="Calibri" w:hAnsi="Times New Roman" w:cs="Times New Roman"/>
          <w:sz w:val="24"/>
          <w:szCs w:val="24"/>
        </w:rPr>
        <w:t xml:space="preserve"> jest jedną z barier uruchomienia preferencyjnej akcji kredytowej przez BGK).</w:t>
      </w:r>
    </w:p>
    <w:p w:rsidR="0009477B" w:rsidRPr="0039474D" w:rsidRDefault="0009477B" w:rsidP="0039474D">
      <w:pPr>
        <w:pStyle w:val="Akapitzlist"/>
        <w:spacing w:before="120" w:after="0" w:line="360" w:lineRule="auto"/>
        <w:ind w:left="0"/>
        <w:jc w:val="both"/>
        <w:rPr>
          <w:rFonts w:ascii="Times New Roman" w:hAnsi="Times New Roman" w:cs="Times New Roman"/>
          <w:sz w:val="24"/>
          <w:szCs w:val="24"/>
        </w:rPr>
      </w:pPr>
      <w:r w:rsidRPr="0039474D">
        <w:rPr>
          <w:rFonts w:ascii="Times New Roman" w:hAnsi="Times New Roman" w:cs="Times New Roman"/>
          <w:sz w:val="24"/>
          <w:szCs w:val="24"/>
        </w:rPr>
        <w:t xml:space="preserve">Drugą grupą rozwiązań będzie modyfikacja zasad działania </w:t>
      </w:r>
      <w:r w:rsidR="00D06F6F" w:rsidRPr="0039474D">
        <w:rPr>
          <w:rFonts w:ascii="Times New Roman" w:hAnsi="Times New Roman" w:cs="Times New Roman"/>
          <w:sz w:val="24"/>
          <w:szCs w:val="24"/>
        </w:rPr>
        <w:t>TBS</w:t>
      </w:r>
      <w:r w:rsidR="00C73610" w:rsidRPr="0039474D">
        <w:rPr>
          <w:rFonts w:ascii="Times New Roman" w:hAnsi="Times New Roman" w:cs="Times New Roman"/>
          <w:sz w:val="24"/>
          <w:szCs w:val="24"/>
        </w:rPr>
        <w:t>-ów</w:t>
      </w:r>
      <w:r w:rsidRPr="0039474D">
        <w:rPr>
          <w:rFonts w:ascii="Times New Roman" w:hAnsi="Times New Roman" w:cs="Times New Roman"/>
          <w:sz w:val="24"/>
          <w:szCs w:val="24"/>
        </w:rPr>
        <w:t>,</w:t>
      </w:r>
      <w:r w:rsidR="00D06F6F" w:rsidRPr="0039474D">
        <w:rPr>
          <w:rFonts w:ascii="Times New Roman" w:hAnsi="Times New Roman" w:cs="Times New Roman"/>
          <w:sz w:val="24"/>
          <w:szCs w:val="24"/>
        </w:rPr>
        <w:t xml:space="preserve"> </w:t>
      </w:r>
      <w:r w:rsidRPr="0039474D">
        <w:rPr>
          <w:rFonts w:ascii="Times New Roman" w:hAnsi="Times New Roman" w:cs="Times New Roman"/>
          <w:sz w:val="24"/>
          <w:szCs w:val="24"/>
        </w:rPr>
        <w:t xml:space="preserve">w tym – poza przepisami odnoszącymi się do zasad udzielania preferencyjnych kredytów – również tych przepisów, które dotyczą gospodarowania lokalami mieszkalnymi na wynajem w istniejących już zasobach </w:t>
      </w:r>
      <w:r w:rsidR="00C73610" w:rsidRPr="0039474D">
        <w:rPr>
          <w:rFonts w:ascii="Times New Roman" w:hAnsi="Times New Roman" w:cs="Times New Roman"/>
          <w:sz w:val="24"/>
          <w:szCs w:val="24"/>
        </w:rPr>
        <w:t>towarzystw</w:t>
      </w:r>
      <w:r w:rsidRPr="0039474D">
        <w:rPr>
          <w:rFonts w:ascii="Times New Roman" w:hAnsi="Times New Roman" w:cs="Times New Roman"/>
          <w:sz w:val="24"/>
          <w:szCs w:val="24"/>
        </w:rPr>
        <w:t xml:space="preserve">, jak również uwarunkowań związanych z prowadzeniem </w:t>
      </w:r>
      <w:r w:rsidRPr="0039474D">
        <w:rPr>
          <w:rFonts w:ascii="Times New Roman" w:hAnsi="Times New Roman" w:cs="Times New Roman"/>
          <w:sz w:val="24"/>
          <w:szCs w:val="24"/>
        </w:rPr>
        <w:lastRenderedPageBreak/>
        <w:t xml:space="preserve">działalności gospodarczej przez </w:t>
      </w:r>
      <w:r w:rsidR="00C73610" w:rsidRPr="0039474D">
        <w:rPr>
          <w:rFonts w:ascii="Times New Roman" w:hAnsi="Times New Roman" w:cs="Times New Roman"/>
          <w:sz w:val="24"/>
          <w:szCs w:val="24"/>
        </w:rPr>
        <w:t>TBS</w:t>
      </w:r>
      <w:r w:rsidRPr="0039474D">
        <w:rPr>
          <w:rFonts w:ascii="Times New Roman" w:hAnsi="Times New Roman" w:cs="Times New Roman"/>
          <w:sz w:val="24"/>
          <w:szCs w:val="24"/>
        </w:rPr>
        <w:t xml:space="preserve">-y wykraczającej poza społeczne budownictwo czynszowe </w:t>
      </w:r>
      <w:r w:rsidR="00B438D9" w:rsidRPr="0039474D">
        <w:rPr>
          <w:rFonts w:ascii="Times New Roman" w:hAnsi="Times New Roman" w:cs="Times New Roman"/>
          <w:sz w:val="24"/>
          <w:szCs w:val="24"/>
        </w:rPr>
        <w:t>wspierane środkami budżetu państwa</w:t>
      </w:r>
      <w:r w:rsidRPr="0039474D">
        <w:rPr>
          <w:rFonts w:ascii="Times New Roman" w:hAnsi="Times New Roman" w:cs="Times New Roman"/>
          <w:sz w:val="24"/>
          <w:szCs w:val="24"/>
        </w:rPr>
        <w:t>. Istotą rozwiązań przewidywanych w projekcie w tym przypadku będą zmiany:</w:t>
      </w:r>
    </w:p>
    <w:p w:rsidR="0009477B" w:rsidRPr="0039474D" w:rsidRDefault="0009477B" w:rsidP="00F749A5">
      <w:pPr>
        <w:pStyle w:val="Akapitzlist"/>
        <w:numPr>
          <w:ilvl w:val="0"/>
          <w:numId w:val="34"/>
        </w:numPr>
        <w:spacing w:before="120" w:after="0" w:line="360" w:lineRule="auto"/>
        <w:ind w:left="284" w:hanging="284"/>
        <w:jc w:val="both"/>
        <w:rPr>
          <w:rFonts w:ascii="Times New Roman" w:hAnsi="Times New Roman" w:cs="Times New Roman"/>
          <w:sz w:val="24"/>
          <w:szCs w:val="24"/>
        </w:rPr>
      </w:pPr>
      <w:r w:rsidRPr="0039474D">
        <w:rPr>
          <w:rFonts w:ascii="Times New Roman" w:hAnsi="Times New Roman" w:cs="Times New Roman"/>
          <w:sz w:val="24"/>
          <w:szCs w:val="24"/>
        </w:rPr>
        <w:t xml:space="preserve">wpływające na poprawę warunków realizacji przez </w:t>
      </w:r>
      <w:r w:rsidR="00C73610" w:rsidRPr="0039474D">
        <w:rPr>
          <w:rFonts w:ascii="Times New Roman" w:hAnsi="Times New Roman" w:cs="Times New Roman"/>
          <w:sz w:val="24"/>
          <w:szCs w:val="24"/>
        </w:rPr>
        <w:t>TBS</w:t>
      </w:r>
      <w:r w:rsidRPr="0039474D">
        <w:rPr>
          <w:rFonts w:ascii="Times New Roman" w:hAnsi="Times New Roman" w:cs="Times New Roman"/>
          <w:sz w:val="24"/>
          <w:szCs w:val="24"/>
        </w:rPr>
        <w:t>-y nowych inwestycji związanych z budową mieszkań na wynajem w</w:t>
      </w:r>
      <w:r w:rsidR="00F749A5">
        <w:rPr>
          <w:rFonts w:ascii="Times New Roman" w:hAnsi="Times New Roman" w:cs="Times New Roman"/>
          <w:sz w:val="24"/>
          <w:szCs w:val="24"/>
        </w:rPr>
        <w:t xml:space="preserve"> </w:t>
      </w:r>
      <w:r w:rsidRPr="0039474D">
        <w:rPr>
          <w:rFonts w:ascii="Times New Roman" w:hAnsi="Times New Roman" w:cs="Times New Roman"/>
          <w:sz w:val="24"/>
          <w:szCs w:val="24"/>
        </w:rPr>
        <w:t>oparciu o finansowanie komercyjne</w:t>
      </w:r>
      <w:r w:rsidR="005849CE">
        <w:rPr>
          <w:rFonts w:ascii="Times New Roman" w:hAnsi="Times New Roman" w:cs="Times New Roman"/>
          <w:sz w:val="24"/>
          <w:szCs w:val="24"/>
        </w:rPr>
        <w:t>,</w:t>
      </w:r>
    </w:p>
    <w:p w:rsidR="003D3AB6" w:rsidRPr="0039474D" w:rsidRDefault="0009477B" w:rsidP="00F749A5">
      <w:pPr>
        <w:pStyle w:val="Akapitzlist"/>
        <w:numPr>
          <w:ilvl w:val="0"/>
          <w:numId w:val="34"/>
        </w:numPr>
        <w:spacing w:before="120" w:after="0" w:line="360" w:lineRule="auto"/>
        <w:ind w:left="284" w:hanging="284"/>
        <w:jc w:val="both"/>
        <w:rPr>
          <w:rFonts w:ascii="Times New Roman" w:hAnsi="Times New Roman" w:cs="Times New Roman"/>
          <w:sz w:val="24"/>
          <w:szCs w:val="24"/>
        </w:rPr>
      </w:pPr>
      <w:r w:rsidRPr="0039474D">
        <w:rPr>
          <w:rFonts w:ascii="Times New Roman" w:hAnsi="Times New Roman" w:cs="Times New Roman"/>
          <w:sz w:val="24"/>
          <w:szCs w:val="24"/>
        </w:rPr>
        <w:t>zapewniające utrzymanie społecznego charakteru mieszkań na wynajem w zasobach istniejących, wybudowanych ze</w:t>
      </w:r>
      <w:r w:rsidR="00F749A5">
        <w:rPr>
          <w:rFonts w:ascii="Times New Roman" w:hAnsi="Times New Roman" w:cs="Times New Roman"/>
          <w:sz w:val="24"/>
          <w:szCs w:val="24"/>
        </w:rPr>
        <w:t xml:space="preserve"> </w:t>
      </w:r>
      <w:r w:rsidRPr="0039474D">
        <w:rPr>
          <w:rFonts w:ascii="Times New Roman" w:hAnsi="Times New Roman" w:cs="Times New Roman"/>
          <w:sz w:val="24"/>
          <w:szCs w:val="24"/>
        </w:rPr>
        <w:t>środków b</w:t>
      </w:r>
      <w:r w:rsidR="004C42BD" w:rsidRPr="0039474D">
        <w:rPr>
          <w:rFonts w:ascii="Times New Roman" w:hAnsi="Times New Roman" w:cs="Times New Roman"/>
          <w:sz w:val="24"/>
          <w:szCs w:val="24"/>
        </w:rPr>
        <w:t>yłego</w:t>
      </w:r>
      <w:r w:rsidRPr="0039474D">
        <w:rPr>
          <w:rFonts w:ascii="Times New Roman" w:hAnsi="Times New Roman" w:cs="Times New Roman"/>
          <w:sz w:val="24"/>
          <w:szCs w:val="24"/>
        </w:rPr>
        <w:t xml:space="preserve"> K</w:t>
      </w:r>
      <w:r w:rsidR="004C42BD" w:rsidRPr="0039474D">
        <w:rPr>
          <w:rFonts w:ascii="Times New Roman" w:hAnsi="Times New Roman" w:cs="Times New Roman"/>
          <w:sz w:val="24"/>
          <w:szCs w:val="24"/>
        </w:rPr>
        <w:t xml:space="preserve">rajowego </w:t>
      </w:r>
      <w:r w:rsidRPr="0039474D">
        <w:rPr>
          <w:rFonts w:ascii="Times New Roman" w:hAnsi="Times New Roman" w:cs="Times New Roman"/>
          <w:sz w:val="24"/>
          <w:szCs w:val="24"/>
        </w:rPr>
        <w:t>F</w:t>
      </w:r>
      <w:r w:rsidR="004C42BD" w:rsidRPr="0039474D">
        <w:rPr>
          <w:rFonts w:ascii="Times New Roman" w:hAnsi="Times New Roman" w:cs="Times New Roman"/>
          <w:sz w:val="24"/>
          <w:szCs w:val="24"/>
        </w:rPr>
        <w:t xml:space="preserve">unduszu </w:t>
      </w:r>
      <w:r w:rsidRPr="0039474D">
        <w:rPr>
          <w:rFonts w:ascii="Times New Roman" w:hAnsi="Times New Roman" w:cs="Times New Roman"/>
          <w:sz w:val="24"/>
          <w:szCs w:val="24"/>
        </w:rPr>
        <w:t>M</w:t>
      </w:r>
      <w:r w:rsidR="004C42BD" w:rsidRPr="0039474D">
        <w:rPr>
          <w:rFonts w:ascii="Times New Roman" w:hAnsi="Times New Roman" w:cs="Times New Roman"/>
          <w:sz w:val="24"/>
          <w:szCs w:val="24"/>
        </w:rPr>
        <w:t>ieszkaniowego</w:t>
      </w:r>
      <w:r w:rsidRPr="0039474D">
        <w:rPr>
          <w:rFonts w:ascii="Times New Roman" w:hAnsi="Times New Roman" w:cs="Times New Roman"/>
          <w:sz w:val="24"/>
          <w:szCs w:val="24"/>
        </w:rPr>
        <w:t>.</w:t>
      </w:r>
    </w:p>
    <w:p w:rsidR="00FD5672" w:rsidRPr="0039474D" w:rsidRDefault="00FD5672" w:rsidP="0039474D">
      <w:pPr>
        <w:pStyle w:val="Akapitzlist"/>
        <w:spacing w:before="120" w:after="0" w:line="360" w:lineRule="auto"/>
        <w:ind w:left="602"/>
        <w:jc w:val="both"/>
        <w:rPr>
          <w:rFonts w:ascii="Times New Roman" w:hAnsi="Times New Roman" w:cs="Times New Roman"/>
          <w:sz w:val="24"/>
          <w:szCs w:val="24"/>
        </w:rPr>
      </w:pPr>
    </w:p>
    <w:p w:rsidR="002B5D56" w:rsidRPr="002247E9" w:rsidRDefault="00080AD8" w:rsidP="0039474D">
      <w:pPr>
        <w:tabs>
          <w:tab w:val="left" w:pos="426"/>
        </w:tabs>
        <w:spacing w:before="120" w:after="0" w:line="360" w:lineRule="auto"/>
        <w:jc w:val="both"/>
        <w:rPr>
          <w:rFonts w:ascii="Times New Roman" w:eastAsia="Times New Roman" w:hAnsi="Times New Roman" w:cs="Times New Roman"/>
          <w:color w:val="000000" w:themeColor="text1"/>
          <w:sz w:val="24"/>
          <w:szCs w:val="24"/>
          <w:lang w:eastAsia="pl-PL"/>
        </w:rPr>
      </w:pPr>
      <w:r w:rsidRPr="002247E9">
        <w:rPr>
          <w:rFonts w:ascii="Times New Roman" w:eastAsia="Times New Roman" w:hAnsi="Times New Roman" w:cs="Times New Roman"/>
          <w:color w:val="000000" w:themeColor="text1"/>
          <w:sz w:val="24"/>
          <w:szCs w:val="24"/>
          <w:lang w:eastAsia="pl-PL"/>
        </w:rPr>
        <w:t xml:space="preserve">II. </w:t>
      </w:r>
      <w:r w:rsidR="002B5D56" w:rsidRPr="002247E9">
        <w:rPr>
          <w:rFonts w:ascii="Times New Roman" w:eastAsia="Times New Roman" w:hAnsi="Times New Roman" w:cs="Times New Roman"/>
          <w:color w:val="000000" w:themeColor="text1"/>
          <w:sz w:val="24"/>
          <w:szCs w:val="24"/>
          <w:lang w:eastAsia="pl-PL"/>
        </w:rPr>
        <w:t xml:space="preserve">DOSTĘPNOŚĆ MIESZKAŃ W OPARCIU O RYNKOWE ŹRÓDŁA FINANSOWANIA – </w:t>
      </w:r>
      <w:r w:rsidRPr="002247E9">
        <w:rPr>
          <w:rFonts w:ascii="Times New Roman" w:eastAsia="Times New Roman" w:hAnsi="Times New Roman" w:cs="Times New Roman"/>
          <w:color w:val="000000" w:themeColor="text1"/>
          <w:sz w:val="24"/>
          <w:szCs w:val="24"/>
          <w:lang w:eastAsia="pl-PL"/>
        </w:rPr>
        <w:t>UWARUNKOWANIA SPOŁECZNE</w:t>
      </w:r>
    </w:p>
    <w:p w:rsidR="00E75557" w:rsidRPr="0039474D" w:rsidRDefault="00E75557" w:rsidP="0039474D">
      <w:pPr>
        <w:spacing w:before="120" w:after="0" w:line="360" w:lineRule="auto"/>
        <w:jc w:val="both"/>
        <w:rPr>
          <w:rFonts w:ascii="Times New Roman" w:eastAsia="Times New Roman" w:hAnsi="Times New Roman" w:cs="Times New Roman"/>
          <w:color w:val="000000" w:themeColor="text1"/>
          <w:sz w:val="24"/>
          <w:szCs w:val="24"/>
          <w:lang w:eastAsia="pl-PL"/>
        </w:rPr>
      </w:pPr>
      <w:r w:rsidRPr="0039474D">
        <w:rPr>
          <w:rFonts w:ascii="Times New Roman" w:eastAsia="Times New Roman" w:hAnsi="Times New Roman" w:cs="Times New Roman"/>
          <w:color w:val="000000" w:themeColor="text1"/>
          <w:sz w:val="24"/>
          <w:szCs w:val="24"/>
          <w:lang w:eastAsia="pl-PL"/>
        </w:rPr>
        <w:t xml:space="preserve">Przedkładany projekt nowelizacji ustawy z dnia 26 października 1995 r. o niektórych formach popierania budownictwa mieszkaniowego (Dz. U. z 2013 r. poz. 255) poprzedzony został analizą dostępności mieszkań w oparciu o rynkowe źródła finansowania wskazującą na segmenty rynku wymagające podjęcia działań wspierających. </w:t>
      </w:r>
    </w:p>
    <w:p w:rsidR="00E75557" w:rsidRPr="0039474D" w:rsidRDefault="00E75557"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Wobec stopniowej redukcji statystycznego deficytu mieszkaniowego (</w:t>
      </w:r>
      <w:r w:rsidR="00080AD8" w:rsidRPr="0039474D">
        <w:rPr>
          <w:rFonts w:ascii="Times New Roman" w:eastAsia="Times New Roman" w:hAnsi="Times New Roman" w:cs="Times New Roman"/>
          <w:sz w:val="24"/>
          <w:szCs w:val="24"/>
          <w:lang w:eastAsia="pl-PL"/>
        </w:rPr>
        <w:t xml:space="preserve">według szacunków </w:t>
      </w:r>
      <w:proofErr w:type="spellStart"/>
      <w:r w:rsidR="00080AD8" w:rsidRPr="0039474D">
        <w:rPr>
          <w:rFonts w:ascii="Times New Roman" w:eastAsia="Times New Roman" w:hAnsi="Times New Roman" w:cs="Times New Roman"/>
          <w:sz w:val="24"/>
          <w:szCs w:val="24"/>
          <w:lang w:eastAsia="pl-PL"/>
        </w:rPr>
        <w:t>MIiR</w:t>
      </w:r>
      <w:proofErr w:type="spellEnd"/>
      <w:r w:rsidRPr="0039474D">
        <w:rPr>
          <w:rFonts w:ascii="Times New Roman" w:eastAsia="Times New Roman" w:hAnsi="Times New Roman" w:cs="Times New Roman"/>
          <w:sz w:val="24"/>
          <w:szCs w:val="24"/>
          <w:lang w:eastAsia="pl-PL"/>
        </w:rPr>
        <w:t xml:space="preserve"> w latach 2002</w:t>
      </w:r>
      <w:r w:rsidR="005849CE">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2014 deficyt mieszkań zmniejszył się z ok. 1,7 mln do ok. </w:t>
      </w:r>
      <w:r w:rsidR="00B21205" w:rsidRPr="0039474D">
        <w:rPr>
          <w:rFonts w:ascii="Times New Roman" w:eastAsia="Times New Roman" w:hAnsi="Times New Roman" w:cs="Times New Roman"/>
          <w:sz w:val="24"/>
          <w:szCs w:val="24"/>
          <w:lang w:eastAsia="pl-PL"/>
        </w:rPr>
        <w:t>5</w:t>
      </w:r>
      <w:r w:rsidRPr="0039474D">
        <w:rPr>
          <w:rFonts w:ascii="Times New Roman" w:eastAsia="Times New Roman" w:hAnsi="Times New Roman" w:cs="Times New Roman"/>
          <w:sz w:val="24"/>
          <w:szCs w:val="24"/>
          <w:lang w:eastAsia="pl-PL"/>
        </w:rPr>
        <w:t xml:space="preserve">00 tys.) podstawowym problemem polskiej polityki mieszkaniowej staje się dostępność mieszkań. Problem ten w największym zakresie ogniskuje się w grupach ludności o niskich dochodach oraz w odniesieniu do osób o szczególnych potrzebach mieszkaniowych (np. </w:t>
      </w:r>
      <w:r w:rsidR="00080AD8" w:rsidRPr="0039474D">
        <w:rPr>
          <w:rFonts w:ascii="Times New Roman" w:eastAsia="Times New Roman" w:hAnsi="Times New Roman" w:cs="Times New Roman"/>
          <w:sz w:val="24"/>
          <w:szCs w:val="24"/>
          <w:lang w:eastAsia="pl-PL"/>
        </w:rPr>
        <w:t>rodziny z dziećmi</w:t>
      </w:r>
      <w:r w:rsidRPr="0039474D">
        <w:rPr>
          <w:rFonts w:ascii="Times New Roman" w:eastAsia="Times New Roman" w:hAnsi="Times New Roman" w:cs="Times New Roman"/>
          <w:sz w:val="24"/>
          <w:szCs w:val="24"/>
          <w:lang w:eastAsia="pl-PL"/>
        </w:rPr>
        <w:t>). Sporządzona w Ministerstwie Infrastruktury i Rozwoju analiza tego zagadnienia uwzględniła gospodarstwa domowe osiągające różne poz</w:t>
      </w:r>
      <w:r w:rsidR="00080AD8" w:rsidRPr="0039474D">
        <w:rPr>
          <w:rFonts w:ascii="Times New Roman" w:eastAsia="Times New Roman" w:hAnsi="Times New Roman" w:cs="Times New Roman"/>
          <w:sz w:val="24"/>
          <w:szCs w:val="24"/>
          <w:lang w:eastAsia="pl-PL"/>
        </w:rPr>
        <w:t>iomy dochodów z pracy, odnosząc</w:t>
      </w:r>
      <w:r w:rsidRPr="0039474D">
        <w:rPr>
          <w:rFonts w:ascii="Times New Roman" w:eastAsia="Times New Roman" w:hAnsi="Times New Roman" w:cs="Times New Roman"/>
          <w:sz w:val="24"/>
          <w:szCs w:val="24"/>
          <w:lang w:eastAsia="pl-PL"/>
        </w:rPr>
        <w:t xml:space="preserve"> ocenę dostępności mieszkań do:</w:t>
      </w:r>
    </w:p>
    <w:p w:rsidR="00E75557" w:rsidRPr="0039474D" w:rsidRDefault="00E75557" w:rsidP="00F749A5">
      <w:pPr>
        <w:pStyle w:val="Akapitzlist"/>
        <w:numPr>
          <w:ilvl w:val="0"/>
          <w:numId w:val="12"/>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rynkowych możliwości zaspokojenia potrzeb mieszkaniowych (komercyjne kredyty na zakup własnego mieszkania, mieszkania na wynajem o czynszach rynkowych),</w:t>
      </w:r>
    </w:p>
    <w:p w:rsidR="00E75557" w:rsidRPr="0039474D" w:rsidRDefault="00E75557" w:rsidP="00F749A5">
      <w:pPr>
        <w:pStyle w:val="Akapitzlist"/>
        <w:numPr>
          <w:ilvl w:val="0"/>
          <w:numId w:val="12"/>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instrumentów władz publicznych mających na celu pomoc w zaspokojeniu potrzeb mieszkaniowych (mieszkania gminne, program „Mieszkanie dla młodych”).</w:t>
      </w:r>
    </w:p>
    <w:p w:rsidR="00E75557" w:rsidRPr="0039474D" w:rsidRDefault="00080AD8"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Ocena</w:t>
      </w:r>
      <w:r w:rsidR="00E75557" w:rsidRPr="0039474D">
        <w:rPr>
          <w:rFonts w:ascii="Times New Roman" w:eastAsia="Times New Roman" w:hAnsi="Times New Roman" w:cs="Times New Roman"/>
          <w:sz w:val="24"/>
          <w:szCs w:val="24"/>
          <w:lang w:eastAsia="pl-PL"/>
        </w:rPr>
        <w:t xml:space="preserve"> dostępności mieszkań należy do zjawisk trudno </w:t>
      </w:r>
      <w:proofErr w:type="spellStart"/>
      <w:r w:rsidR="00E75557" w:rsidRPr="0039474D">
        <w:rPr>
          <w:rFonts w:ascii="Times New Roman" w:eastAsia="Times New Roman" w:hAnsi="Times New Roman" w:cs="Times New Roman"/>
          <w:sz w:val="24"/>
          <w:szCs w:val="24"/>
          <w:lang w:eastAsia="pl-PL"/>
        </w:rPr>
        <w:t>parametryzowalnych</w:t>
      </w:r>
      <w:proofErr w:type="spellEnd"/>
      <w:r w:rsidR="00E75557" w:rsidRPr="0039474D">
        <w:rPr>
          <w:rFonts w:ascii="Times New Roman" w:eastAsia="Times New Roman" w:hAnsi="Times New Roman" w:cs="Times New Roman"/>
          <w:sz w:val="24"/>
          <w:szCs w:val="24"/>
          <w:lang w:eastAsia="pl-PL"/>
        </w:rPr>
        <w:t xml:space="preserve"> w analizach ilościowych. Rozważając dostępność kredytów mieszkaniowych należy mieć na uwadze również wiele czynników, które tę dostępność ograniczają, a uwzględnienie których sprawia, że wyniki analizy możliwości kredytowych społeczeństwa będą pokazywały wyidealizowaną sytuację, tj. praktyczne możliwości gospodarstw domowych pragnących zaspokoić po</w:t>
      </w:r>
      <w:r w:rsidR="00CE0E51" w:rsidRPr="0039474D">
        <w:rPr>
          <w:rFonts w:ascii="Times New Roman" w:eastAsia="Times New Roman" w:hAnsi="Times New Roman" w:cs="Times New Roman"/>
          <w:sz w:val="24"/>
          <w:szCs w:val="24"/>
          <w:lang w:eastAsia="pl-PL"/>
        </w:rPr>
        <w:t>trzeby mieszkaniowe na rynku są</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bardziej ograniczo</w:t>
      </w:r>
      <w:r w:rsidR="00E75557" w:rsidRPr="0039474D">
        <w:rPr>
          <w:rFonts w:ascii="Times New Roman" w:eastAsia="Times New Roman" w:hAnsi="Times New Roman" w:cs="Times New Roman"/>
          <w:sz w:val="24"/>
          <w:szCs w:val="24"/>
          <w:lang w:eastAsia="pl-PL"/>
        </w:rPr>
        <w:t xml:space="preserve">ne. O zasadności tej uwagi świadczyć mogą np. </w:t>
      </w:r>
      <w:r w:rsidR="00E75557" w:rsidRPr="0039474D">
        <w:rPr>
          <w:rFonts w:ascii="Times New Roman" w:eastAsia="Times New Roman" w:hAnsi="Times New Roman" w:cs="Times New Roman"/>
          <w:sz w:val="24"/>
          <w:szCs w:val="24"/>
          <w:lang w:eastAsia="pl-PL"/>
        </w:rPr>
        <w:lastRenderedPageBreak/>
        <w:t>rea</w:t>
      </w:r>
      <w:r w:rsidR="00CE0E51" w:rsidRPr="0039474D">
        <w:rPr>
          <w:rFonts w:ascii="Times New Roman" w:eastAsia="Times New Roman" w:hAnsi="Times New Roman" w:cs="Times New Roman"/>
          <w:sz w:val="24"/>
          <w:szCs w:val="24"/>
          <w:lang w:eastAsia="pl-PL"/>
        </w:rPr>
        <w:t>lne dane z rynku mieszkaniowego</w:t>
      </w:r>
      <w:r w:rsidR="00E75557" w:rsidRPr="0039474D">
        <w:rPr>
          <w:rFonts w:ascii="Times New Roman" w:eastAsia="Times New Roman" w:hAnsi="Times New Roman" w:cs="Times New Roman"/>
          <w:sz w:val="24"/>
          <w:szCs w:val="24"/>
          <w:lang w:eastAsia="pl-PL"/>
        </w:rPr>
        <w:t xml:space="preserve"> wskazujące, że pomimo poprawy podstawowych parametrów makroekonomicznych (wzrost wynagrodzeń, spadek stóp procentowych) w latach 2011</w:t>
      </w:r>
      <w:r w:rsidR="005849CE">
        <w:rPr>
          <w:rFonts w:ascii="Times New Roman" w:eastAsia="Times New Roman" w:hAnsi="Times New Roman" w:cs="Times New Roman"/>
          <w:sz w:val="24"/>
          <w:szCs w:val="24"/>
          <w:lang w:eastAsia="pl-PL"/>
        </w:rPr>
        <w:t>–</w:t>
      </w:r>
      <w:r w:rsidR="00E75557" w:rsidRPr="0039474D">
        <w:rPr>
          <w:rFonts w:ascii="Times New Roman" w:eastAsia="Times New Roman" w:hAnsi="Times New Roman" w:cs="Times New Roman"/>
          <w:sz w:val="24"/>
          <w:szCs w:val="24"/>
          <w:lang w:eastAsia="pl-PL"/>
        </w:rPr>
        <w:t>2013 liczba udzielonych kredytów mieszkaniowych zmniejszyła się o ok. 30%. Potwierdzeniem tego wniosku są również przykładowo wskazane poniżej aspekty oceny problemu dostępności kredytowej, które jedynie w ograniczonym stopniu mogą zostać uwzględnione w jakiejkolwiek analizie ilościowej tego zjawiska:</w:t>
      </w:r>
    </w:p>
    <w:p w:rsidR="00E75557" w:rsidRPr="0039474D" w:rsidRDefault="00E75557" w:rsidP="00F5508D">
      <w:pPr>
        <w:pStyle w:val="Akapitzlist"/>
        <w:numPr>
          <w:ilvl w:val="0"/>
          <w:numId w:val="13"/>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dostępność kredytów mieszkaniowych (zarówno w programie </w:t>
      </w:r>
      <w:r w:rsidR="009520B7" w:rsidRPr="0039474D">
        <w:rPr>
          <w:rFonts w:ascii="Times New Roman" w:eastAsia="Times New Roman" w:hAnsi="Times New Roman" w:cs="Times New Roman"/>
          <w:sz w:val="24"/>
          <w:szCs w:val="24"/>
          <w:lang w:eastAsia="pl-PL"/>
        </w:rPr>
        <w:t>„Mieszkanie dla młodych” jak i</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kredytów komercyjnych) zależy od zdolności kredytowej ewentualnych nabywców, która z kolei, obok wysokości osiąganych dochodów, obejmuje inne elementy</w:t>
      </w:r>
      <w:r w:rsidR="00C77732"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m.in. trwałość stosunku pracy. Zgodnie z danymi G</w:t>
      </w:r>
      <w:r w:rsidR="00CE0E51" w:rsidRPr="0039474D">
        <w:rPr>
          <w:rFonts w:ascii="Times New Roman" w:eastAsia="Times New Roman" w:hAnsi="Times New Roman" w:cs="Times New Roman"/>
          <w:sz w:val="24"/>
          <w:szCs w:val="24"/>
          <w:lang w:eastAsia="pl-PL"/>
        </w:rPr>
        <w:t>US</w:t>
      </w:r>
      <w:r w:rsidR="00C30DDE" w:rsidRPr="0039474D">
        <w:rPr>
          <w:rStyle w:val="Odwoanieprzypisudolnego"/>
          <w:rFonts w:ascii="Times New Roman" w:eastAsia="Times New Roman" w:hAnsi="Times New Roman" w:cs="Times New Roman"/>
          <w:sz w:val="24"/>
          <w:szCs w:val="24"/>
          <w:lang w:eastAsia="pl-PL"/>
        </w:rPr>
        <w:footnoteReference w:id="1"/>
      </w:r>
      <w:r w:rsidR="00027895" w:rsidRPr="0039474D">
        <w:rPr>
          <w:rFonts w:ascii="Times New Roman" w:eastAsia="Times New Roman" w:hAnsi="Times New Roman" w:cs="Times New Roman"/>
          <w:sz w:val="24"/>
          <w:szCs w:val="24"/>
          <w:vertAlign w:val="superscript"/>
          <w:lang w:eastAsia="pl-PL"/>
        </w:rPr>
        <w:t>)</w:t>
      </w:r>
      <w:r w:rsidR="00CE0E51" w:rsidRPr="0039474D">
        <w:rPr>
          <w:rFonts w:ascii="Times New Roman" w:eastAsia="Times New Roman" w:hAnsi="Times New Roman" w:cs="Times New Roman"/>
          <w:sz w:val="24"/>
          <w:szCs w:val="24"/>
          <w:lang w:eastAsia="pl-PL"/>
        </w:rPr>
        <w:t xml:space="preserve"> dot. III</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kwartału 201</w:t>
      </w:r>
      <w:r w:rsidR="00C30DDE" w:rsidRPr="0039474D">
        <w:rPr>
          <w:rFonts w:ascii="Times New Roman" w:eastAsia="Times New Roman" w:hAnsi="Times New Roman" w:cs="Times New Roman"/>
          <w:sz w:val="24"/>
          <w:szCs w:val="24"/>
          <w:lang w:eastAsia="pl-PL"/>
        </w:rPr>
        <w:t>4</w:t>
      </w:r>
      <w:r w:rsidRPr="0039474D">
        <w:rPr>
          <w:rFonts w:ascii="Times New Roman" w:eastAsia="Times New Roman" w:hAnsi="Times New Roman" w:cs="Times New Roman"/>
          <w:sz w:val="24"/>
          <w:szCs w:val="24"/>
          <w:lang w:eastAsia="pl-PL"/>
        </w:rPr>
        <w:t xml:space="preserve"> r., wśród pracowników najemnych 2</w:t>
      </w:r>
      <w:r w:rsidR="00C30DDE" w:rsidRPr="0039474D">
        <w:rPr>
          <w:rFonts w:ascii="Times New Roman" w:eastAsia="Times New Roman" w:hAnsi="Times New Roman" w:cs="Times New Roman"/>
          <w:sz w:val="24"/>
          <w:szCs w:val="24"/>
          <w:lang w:eastAsia="pl-PL"/>
        </w:rPr>
        <w:t>8</w:t>
      </w:r>
      <w:r w:rsidRPr="0039474D">
        <w:rPr>
          <w:rFonts w:ascii="Times New Roman" w:eastAsia="Times New Roman" w:hAnsi="Times New Roman" w:cs="Times New Roman"/>
          <w:sz w:val="24"/>
          <w:szCs w:val="24"/>
          <w:lang w:eastAsia="pl-PL"/>
        </w:rPr>
        <w:t>,9% pracu</w:t>
      </w:r>
      <w:r w:rsidR="009520B7" w:rsidRPr="0039474D">
        <w:rPr>
          <w:rFonts w:ascii="Times New Roman" w:eastAsia="Times New Roman" w:hAnsi="Times New Roman" w:cs="Times New Roman"/>
          <w:sz w:val="24"/>
          <w:szCs w:val="24"/>
          <w:lang w:eastAsia="pl-PL"/>
        </w:rPr>
        <w:t>je w</w:t>
      </w:r>
      <w:r w:rsidR="00F749A5">
        <w:rPr>
          <w:rFonts w:ascii="Times New Roman" w:eastAsia="Times New Roman" w:hAnsi="Times New Roman" w:cs="Times New Roman"/>
          <w:sz w:val="24"/>
          <w:szCs w:val="24"/>
          <w:lang w:eastAsia="pl-PL"/>
        </w:rPr>
        <w:t xml:space="preserve"> </w:t>
      </w:r>
      <w:r w:rsidR="009520B7" w:rsidRPr="0039474D">
        <w:rPr>
          <w:rFonts w:ascii="Times New Roman" w:eastAsia="Times New Roman" w:hAnsi="Times New Roman" w:cs="Times New Roman"/>
          <w:sz w:val="24"/>
          <w:szCs w:val="24"/>
          <w:lang w:eastAsia="pl-PL"/>
        </w:rPr>
        <w:t>oparciu o umowę zawartą na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czas określony. GUS nie publikuje ww. danych w przekrojach wiekowych, ale można </w:t>
      </w:r>
      <w:r w:rsidR="005D3157" w:rsidRPr="0039474D">
        <w:rPr>
          <w:rFonts w:ascii="Times New Roman" w:eastAsia="Times New Roman" w:hAnsi="Times New Roman" w:cs="Times New Roman"/>
          <w:sz w:val="24"/>
          <w:szCs w:val="24"/>
          <w:lang w:eastAsia="pl-PL"/>
        </w:rPr>
        <w:t>założyć</w:t>
      </w:r>
      <w:r w:rsidRPr="0039474D">
        <w:rPr>
          <w:rFonts w:ascii="Times New Roman" w:eastAsia="Times New Roman" w:hAnsi="Times New Roman" w:cs="Times New Roman"/>
          <w:sz w:val="24"/>
          <w:szCs w:val="24"/>
          <w:lang w:eastAsia="pl-PL"/>
        </w:rPr>
        <w:t>, że wśród młodych osób wspó</w:t>
      </w:r>
      <w:r w:rsidR="009520B7" w:rsidRPr="0039474D">
        <w:rPr>
          <w:rFonts w:ascii="Times New Roman" w:eastAsia="Times New Roman" w:hAnsi="Times New Roman" w:cs="Times New Roman"/>
          <w:sz w:val="24"/>
          <w:szCs w:val="24"/>
          <w:lang w:eastAsia="pl-PL"/>
        </w:rPr>
        <w:t>łczynnik osób nie pracujących 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oparciu o umowę o pracę zawartą na czas nieokreślony jest jeszcze wyższy</w:t>
      </w:r>
      <w:r w:rsidR="005849CE">
        <w:rPr>
          <w:rFonts w:ascii="Times New Roman" w:eastAsia="Times New Roman" w:hAnsi="Times New Roman" w:cs="Times New Roman"/>
          <w:sz w:val="24"/>
          <w:szCs w:val="24"/>
          <w:lang w:eastAsia="pl-PL"/>
        </w:rPr>
        <w:t>,</w:t>
      </w:r>
    </w:p>
    <w:p w:rsidR="00E75557" w:rsidRPr="0039474D" w:rsidRDefault="00E75557" w:rsidP="00F5508D">
      <w:pPr>
        <w:pStyle w:val="Akapitzlist"/>
        <w:numPr>
          <w:ilvl w:val="0"/>
          <w:numId w:val="13"/>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dostępność kredytów mieszkaniowych zależy również od takich parametrów</w:t>
      </w:r>
      <w:r w:rsidR="00C77732"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jak polityka kredytowa banków komercyjnych, wysokość stosowanych marż i prowizji związanych z udzieleniem kredytu, rekomendacje Komisji Nadzoru Finansowego, sytuacja na rynk</w:t>
      </w:r>
      <w:r w:rsidR="005C7CF2" w:rsidRPr="0039474D">
        <w:rPr>
          <w:rFonts w:ascii="Times New Roman" w:eastAsia="Times New Roman" w:hAnsi="Times New Roman" w:cs="Times New Roman"/>
          <w:sz w:val="24"/>
          <w:szCs w:val="24"/>
          <w:lang w:eastAsia="pl-PL"/>
        </w:rPr>
        <w:t>u finansowym itp. Ze względu na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stosowanie w polskiej praktyce finansowania zakupu nieruchomości mieszkaniowych zmiennej stopy procentowej, zdolność do obsługi rat spłaty kredytu mieszkaniowego zależy w dużym stopniu również od wysokości rynkowych stóp procentowych. Obecnie</w:t>
      </w:r>
      <w:r w:rsidR="00DB3690" w:rsidRPr="0039474D">
        <w:rPr>
          <w:rStyle w:val="Odwoanieprzypisudolnego"/>
          <w:rFonts w:ascii="Times New Roman" w:eastAsia="Times New Roman" w:hAnsi="Times New Roman" w:cs="Times New Roman"/>
          <w:sz w:val="24"/>
          <w:szCs w:val="24"/>
          <w:lang w:eastAsia="pl-PL"/>
        </w:rPr>
        <w:footnoteReference w:id="2"/>
      </w:r>
      <w:r w:rsidR="00027895" w:rsidRPr="0039474D">
        <w:rPr>
          <w:rFonts w:ascii="Times New Roman" w:eastAsia="Times New Roman" w:hAnsi="Times New Roman" w:cs="Times New Roman"/>
          <w:sz w:val="24"/>
          <w:szCs w:val="24"/>
          <w:vertAlign w:val="superscript"/>
          <w:lang w:eastAsia="pl-PL"/>
        </w:rPr>
        <w:t>)</w:t>
      </w:r>
      <w:r w:rsidRPr="0039474D">
        <w:rPr>
          <w:rFonts w:ascii="Times New Roman" w:eastAsia="Times New Roman" w:hAnsi="Times New Roman" w:cs="Times New Roman"/>
          <w:sz w:val="24"/>
          <w:szCs w:val="24"/>
          <w:lang w:eastAsia="pl-PL"/>
        </w:rPr>
        <w:t xml:space="preserve"> na rynku finansowym obowiązują rekordowo niskie stopy procentowe (WIBOR 3M = ok. 2%). Wzrost tej stopy o 1 p</w:t>
      </w:r>
      <w:r w:rsidR="00C77732" w:rsidRPr="0039474D">
        <w:rPr>
          <w:rFonts w:ascii="Times New Roman" w:eastAsia="Times New Roman" w:hAnsi="Times New Roman" w:cs="Times New Roman"/>
          <w:sz w:val="24"/>
          <w:szCs w:val="24"/>
          <w:lang w:eastAsia="pl-PL"/>
        </w:rPr>
        <w:t>unkt procentowy</w:t>
      </w:r>
      <w:r w:rsidRPr="0039474D">
        <w:rPr>
          <w:rFonts w:ascii="Times New Roman" w:eastAsia="Times New Roman" w:hAnsi="Times New Roman" w:cs="Times New Roman"/>
          <w:sz w:val="24"/>
          <w:szCs w:val="24"/>
          <w:lang w:eastAsia="pl-PL"/>
        </w:rPr>
        <w:t xml:space="preserve"> wyeliminowałby z rynku ok. 10% osób i zwiększyłby lukę dostępności instrumentów wsparcia mieszkalnictwa. Dodatkowo, zmniejszyłby o ok. 10% powi</w:t>
      </w:r>
      <w:r w:rsidR="009520B7" w:rsidRPr="0039474D">
        <w:rPr>
          <w:rFonts w:ascii="Times New Roman" w:eastAsia="Times New Roman" w:hAnsi="Times New Roman" w:cs="Times New Roman"/>
          <w:sz w:val="24"/>
          <w:szCs w:val="24"/>
          <w:lang w:eastAsia="pl-PL"/>
        </w:rPr>
        <w:t>erzchnię mieszkań dostępnych do</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sfinansowania z wykorzystaniem kredytu mieszkaniowego</w:t>
      </w:r>
      <w:r w:rsidR="005849CE">
        <w:rPr>
          <w:rFonts w:ascii="Times New Roman" w:eastAsia="Times New Roman" w:hAnsi="Times New Roman" w:cs="Times New Roman"/>
          <w:sz w:val="24"/>
          <w:szCs w:val="24"/>
          <w:lang w:eastAsia="pl-PL"/>
        </w:rPr>
        <w:t>,</w:t>
      </w:r>
    </w:p>
    <w:p w:rsidR="00E75557" w:rsidRPr="0039474D" w:rsidRDefault="00E75557" w:rsidP="00F5508D">
      <w:pPr>
        <w:pStyle w:val="Akapitzlist"/>
        <w:numPr>
          <w:ilvl w:val="0"/>
          <w:numId w:val="13"/>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warto zwrócić uwagę również na zróżnicowanie w poszczególnych bankach procedur dotyczących sposobu obliczania zdolności kredytowej potencjalnych </w:t>
      </w:r>
      <w:r w:rsidR="00ED1BF4" w:rsidRPr="0039474D">
        <w:rPr>
          <w:rFonts w:ascii="Times New Roman" w:eastAsia="Times New Roman" w:hAnsi="Times New Roman" w:cs="Times New Roman"/>
          <w:sz w:val="24"/>
          <w:szCs w:val="24"/>
          <w:lang w:eastAsia="pl-PL"/>
        </w:rPr>
        <w:t>kredytobiorców. Poza wskazaną 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rekomendacji KNF (Rekomendacja S) wytyczną, sugerującą, że bezpieczną granicą wysokości miesięcznej raty spłaty jest poziom nieprzekraczający 40% miesięcznych dochodów netto, banki komercyjne stosują swoje własne procedury dotyczące np. obliczania miesięcznego kosztu utrzymania kredytobiorcy. W analizie </w:t>
      </w:r>
      <w:r w:rsidRPr="0039474D">
        <w:rPr>
          <w:rFonts w:ascii="Times New Roman" w:eastAsia="Times New Roman" w:hAnsi="Times New Roman" w:cs="Times New Roman"/>
          <w:sz w:val="24"/>
          <w:szCs w:val="24"/>
          <w:lang w:eastAsia="pl-PL"/>
        </w:rPr>
        <w:lastRenderedPageBreak/>
        <w:t xml:space="preserve">Ministerstwa </w:t>
      </w:r>
      <w:r w:rsidR="00C77732" w:rsidRPr="0039474D">
        <w:rPr>
          <w:rFonts w:ascii="Times New Roman" w:eastAsia="Times New Roman" w:hAnsi="Times New Roman" w:cs="Times New Roman"/>
          <w:sz w:val="24"/>
          <w:szCs w:val="24"/>
          <w:lang w:eastAsia="pl-PL"/>
        </w:rPr>
        <w:t xml:space="preserve">Infrastruktury i Rozwoju </w:t>
      </w:r>
      <w:r w:rsidRPr="0039474D">
        <w:rPr>
          <w:rFonts w:ascii="Times New Roman" w:eastAsia="Times New Roman" w:hAnsi="Times New Roman" w:cs="Times New Roman"/>
          <w:sz w:val="24"/>
          <w:szCs w:val="24"/>
          <w:lang w:eastAsia="pl-PL"/>
        </w:rPr>
        <w:t>założono, że ten</w:t>
      </w:r>
      <w:r w:rsidR="009520B7" w:rsidRPr="0039474D">
        <w:rPr>
          <w:rFonts w:ascii="Times New Roman" w:eastAsia="Times New Roman" w:hAnsi="Times New Roman" w:cs="Times New Roman"/>
          <w:sz w:val="24"/>
          <w:szCs w:val="24"/>
          <w:lang w:eastAsia="pl-PL"/>
        </w:rPr>
        <w:t xml:space="preserve"> koszt powinien być ustalony na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poziomie zapewniającym kredytobiorcom życie na poziomie minimum socjalnego, określanego przez Instytut Pracy i Spraw Socjalnych. W rama</w:t>
      </w:r>
      <w:r w:rsidR="00CD1AB3" w:rsidRPr="0039474D">
        <w:rPr>
          <w:rFonts w:ascii="Times New Roman" w:eastAsia="Times New Roman" w:hAnsi="Times New Roman" w:cs="Times New Roman"/>
          <w:sz w:val="24"/>
          <w:szCs w:val="24"/>
          <w:lang w:eastAsia="pl-PL"/>
        </w:rPr>
        <w:t>ch wydatków składających się</w:t>
      </w:r>
      <w:r w:rsidRPr="0039474D">
        <w:rPr>
          <w:rFonts w:ascii="Times New Roman" w:eastAsia="Times New Roman" w:hAnsi="Times New Roman" w:cs="Times New Roman"/>
          <w:sz w:val="24"/>
          <w:szCs w:val="24"/>
          <w:lang w:eastAsia="pl-PL"/>
        </w:rPr>
        <w:t xml:space="preserve"> </w:t>
      </w:r>
      <w:r w:rsidR="00CD1AB3" w:rsidRPr="0039474D">
        <w:rPr>
          <w:rFonts w:ascii="Times New Roman" w:eastAsia="Times New Roman" w:hAnsi="Times New Roman" w:cs="Times New Roman"/>
          <w:sz w:val="24"/>
          <w:szCs w:val="24"/>
          <w:lang w:eastAsia="pl-PL"/>
        </w:rPr>
        <w:t>na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socjalne uwzględnia się wydatki na żywność, eksploatację</w:t>
      </w:r>
      <w:r w:rsidR="00EF7B6B" w:rsidRPr="0039474D">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i wyposażenie </w:t>
      </w:r>
      <w:r w:rsidR="00ED1BF4" w:rsidRPr="0039474D">
        <w:rPr>
          <w:rFonts w:ascii="Times New Roman" w:eastAsia="Times New Roman" w:hAnsi="Times New Roman" w:cs="Times New Roman"/>
          <w:sz w:val="24"/>
          <w:szCs w:val="24"/>
          <w:lang w:eastAsia="pl-PL"/>
        </w:rPr>
        <w:t>mieszkania, edukację, kulturę i</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rekreację, odzież i obuwie, ochronę zdrowia, higienę osobistą, transport i łączność i inne. Wskaźnik ten uwzględnia uśrednione dane dla całego kraju. Tymczas</w:t>
      </w:r>
      <w:r w:rsidR="00ED1BF4" w:rsidRPr="0039474D">
        <w:rPr>
          <w:rFonts w:ascii="Times New Roman" w:eastAsia="Times New Roman" w:hAnsi="Times New Roman" w:cs="Times New Roman"/>
          <w:sz w:val="24"/>
          <w:szCs w:val="24"/>
          <w:lang w:eastAsia="pl-PL"/>
        </w:rPr>
        <w:t>em należy mieć świadomość, że 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niektórych lokalizacjach koszty utrzymania są wyższe. Przypuszczalnie doty</w:t>
      </w:r>
      <w:r w:rsidR="005C7CF2" w:rsidRPr="0039474D">
        <w:rPr>
          <w:rFonts w:ascii="Times New Roman" w:eastAsia="Times New Roman" w:hAnsi="Times New Roman" w:cs="Times New Roman"/>
          <w:sz w:val="24"/>
          <w:szCs w:val="24"/>
          <w:lang w:eastAsia="pl-PL"/>
        </w:rPr>
        <w:t>czy to</w:t>
      </w:r>
      <w:r w:rsidR="00F749A5">
        <w:rPr>
          <w:rFonts w:ascii="Times New Roman" w:eastAsia="Times New Roman" w:hAnsi="Times New Roman" w:cs="Times New Roman"/>
          <w:sz w:val="24"/>
          <w:szCs w:val="24"/>
          <w:lang w:eastAsia="pl-PL"/>
        </w:rPr>
        <w:t xml:space="preserve"> </w:t>
      </w:r>
      <w:r w:rsidR="00CD1AB3" w:rsidRPr="0039474D">
        <w:rPr>
          <w:rFonts w:ascii="Times New Roman" w:eastAsia="Times New Roman" w:hAnsi="Times New Roman" w:cs="Times New Roman"/>
          <w:sz w:val="24"/>
          <w:szCs w:val="24"/>
          <w:lang w:eastAsia="pl-PL"/>
        </w:rPr>
        <w:t>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szczególności większych ośrodków miejskich. Dlatego przyjęta metoda obliczania możliwości kredytowych społeczeństwa podaje w przypadku dużych miast zawyżone (zbyt optymistyczne) wyniki.</w:t>
      </w:r>
    </w:p>
    <w:p w:rsidR="00E75557" w:rsidRPr="0039474D" w:rsidRDefault="00E75557"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Uwzględniając powyższe zastrzeżenia, przeprowadzona przez Ministerstwo Infrastruktury i Rozwoju ocena dostępności mieszkań, nawet przy pominięciu wskazanych przykładów charakterystyk oceny jakościowej, potwierdza występowanie luki w dostępie do instrume</w:t>
      </w:r>
      <w:r w:rsidR="00ED1BF4" w:rsidRPr="0039474D">
        <w:rPr>
          <w:rFonts w:ascii="Times New Roman" w:eastAsia="Times New Roman" w:hAnsi="Times New Roman" w:cs="Times New Roman"/>
          <w:sz w:val="24"/>
          <w:szCs w:val="24"/>
          <w:lang w:eastAsia="pl-PL"/>
        </w:rPr>
        <w:t>ntów wsparcia mieszkalnictwa, 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także do rynkowych możliwości zaspokajania potrzeb mieszkaniowych. </w:t>
      </w:r>
    </w:p>
    <w:p w:rsidR="003E00FD" w:rsidRPr="0039474D" w:rsidRDefault="00E75557"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Osoby, których dochody mieszczą się w ok</w:t>
      </w:r>
      <w:r w:rsidR="00EF7B6B" w:rsidRPr="0039474D">
        <w:rPr>
          <w:rFonts w:ascii="Times New Roman" w:eastAsia="Times New Roman" w:hAnsi="Times New Roman" w:cs="Times New Roman"/>
          <w:sz w:val="24"/>
          <w:szCs w:val="24"/>
          <w:lang w:eastAsia="pl-PL"/>
        </w:rPr>
        <w:t>oło</w:t>
      </w:r>
      <w:r w:rsidRPr="0039474D">
        <w:rPr>
          <w:rFonts w:ascii="Times New Roman" w:eastAsia="Times New Roman" w:hAnsi="Times New Roman" w:cs="Times New Roman"/>
          <w:sz w:val="24"/>
          <w:szCs w:val="24"/>
          <w:lang w:eastAsia="pl-PL"/>
        </w:rPr>
        <w:t xml:space="preserve"> III</w:t>
      </w:r>
      <w:r w:rsidR="005849CE">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VII decylach rozkładu wynagrodzeń</w:t>
      </w:r>
      <w:r w:rsidR="00C77732"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zarabiają za d</w:t>
      </w:r>
      <w:r w:rsidR="009520B7" w:rsidRPr="0039474D">
        <w:rPr>
          <w:rFonts w:ascii="Times New Roman" w:eastAsia="Times New Roman" w:hAnsi="Times New Roman" w:cs="Times New Roman"/>
          <w:sz w:val="24"/>
          <w:szCs w:val="24"/>
          <w:lang w:eastAsia="pl-PL"/>
        </w:rPr>
        <w:t>użo</w:t>
      </w:r>
      <w:r w:rsidR="00C77732" w:rsidRPr="0039474D">
        <w:rPr>
          <w:rFonts w:ascii="Times New Roman" w:eastAsia="Times New Roman" w:hAnsi="Times New Roman" w:cs="Times New Roman"/>
          <w:sz w:val="24"/>
          <w:szCs w:val="24"/>
          <w:lang w:eastAsia="pl-PL"/>
        </w:rPr>
        <w:t>,</w:t>
      </w:r>
      <w:r w:rsidR="009520B7" w:rsidRPr="0039474D">
        <w:rPr>
          <w:rFonts w:ascii="Times New Roman" w:eastAsia="Times New Roman" w:hAnsi="Times New Roman" w:cs="Times New Roman"/>
          <w:sz w:val="24"/>
          <w:szCs w:val="24"/>
          <w:lang w:eastAsia="pl-PL"/>
        </w:rPr>
        <w:t xml:space="preserve"> aby móc się ubiegać o lokal gminny</w:t>
      </w:r>
      <w:r w:rsidRPr="0039474D">
        <w:rPr>
          <w:rFonts w:ascii="Times New Roman" w:eastAsia="Times New Roman" w:hAnsi="Times New Roman" w:cs="Times New Roman"/>
          <w:sz w:val="24"/>
          <w:szCs w:val="24"/>
          <w:lang w:eastAsia="pl-PL"/>
        </w:rPr>
        <w:t xml:space="preserve"> i za mało</w:t>
      </w:r>
      <w:r w:rsidR="00C77732"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aby móc zaciągnąć kredyt na zakup własnego mieszkania, nawet korzystając z programu „Mieszkanie dla młodych”. Charakterystyka ta odnosi się do osób zarabiających ok. 1600–2800 zł netto. Ponadto brak dostępu do finansowania hipotecznego cechuje osoby, które nie dysponują odpowiednią stabilizacją zatrudnienia, warunkującą uzyskanie zdolności kredytowej w ocenie instytucji udzielających</w:t>
      </w:r>
      <w:r w:rsidR="009520B7" w:rsidRPr="0039474D">
        <w:rPr>
          <w:rFonts w:ascii="Times New Roman" w:eastAsia="Times New Roman" w:hAnsi="Times New Roman" w:cs="Times New Roman"/>
          <w:sz w:val="24"/>
          <w:szCs w:val="24"/>
          <w:lang w:eastAsia="pl-PL"/>
        </w:rPr>
        <w:t xml:space="preserve"> kredytów. Analiza wykazała, że</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osoby uzyskujące przeciętne dochody mogą płacić czynsz za wynajem mieszkania w wysokości ok. 8</w:t>
      </w:r>
      <w:r w:rsidR="005C72EC">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20 zł/m</w:t>
      </w:r>
      <w:r w:rsidRPr="0039474D">
        <w:rPr>
          <w:rFonts w:ascii="Times New Roman" w:eastAsia="Times New Roman" w:hAnsi="Times New Roman" w:cs="Times New Roman"/>
          <w:sz w:val="24"/>
          <w:szCs w:val="24"/>
          <w:vertAlign w:val="superscript"/>
          <w:lang w:eastAsia="pl-PL"/>
        </w:rPr>
        <w:t>2</w:t>
      </w:r>
      <w:r w:rsidR="0012362A" w:rsidRPr="0039474D">
        <w:rPr>
          <w:rFonts w:ascii="Times New Roman" w:eastAsia="Times New Roman" w:hAnsi="Times New Roman" w:cs="Times New Roman"/>
          <w:color w:val="FF0000"/>
          <w:sz w:val="24"/>
          <w:szCs w:val="24"/>
          <w:lang w:eastAsia="pl-PL"/>
        </w:rPr>
        <w:t xml:space="preserve"> </w:t>
      </w:r>
      <w:r w:rsidRPr="0039474D">
        <w:rPr>
          <w:rFonts w:ascii="Times New Roman" w:eastAsia="Times New Roman" w:hAnsi="Times New Roman" w:cs="Times New Roman"/>
          <w:sz w:val="24"/>
          <w:szCs w:val="24"/>
          <w:lang w:eastAsia="pl-PL"/>
        </w:rPr>
        <w:t>miesięcznie, czyli poniżej stawek obowiązujących n</w:t>
      </w:r>
      <w:r w:rsidR="009520B7" w:rsidRPr="0039474D">
        <w:rPr>
          <w:rFonts w:ascii="Times New Roman" w:eastAsia="Times New Roman" w:hAnsi="Times New Roman" w:cs="Times New Roman"/>
          <w:sz w:val="24"/>
          <w:szCs w:val="24"/>
          <w:lang w:eastAsia="pl-PL"/>
        </w:rPr>
        <w:t>a rynku komercyjnym mieszkań na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wynajem. Również pogłębiona ocena sporządzona z uwzględ</w:t>
      </w:r>
      <w:r w:rsidR="00ED1BF4" w:rsidRPr="0039474D">
        <w:rPr>
          <w:rFonts w:ascii="Times New Roman" w:eastAsia="Times New Roman" w:hAnsi="Times New Roman" w:cs="Times New Roman"/>
          <w:sz w:val="24"/>
          <w:szCs w:val="24"/>
          <w:lang w:eastAsia="pl-PL"/>
        </w:rPr>
        <w:t>nieniem lokalnych zróżnicowań 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wybranych lokalizacjach w </w:t>
      </w:r>
      <w:r w:rsidR="009520B7" w:rsidRPr="0039474D">
        <w:rPr>
          <w:rFonts w:ascii="Times New Roman" w:eastAsia="Times New Roman" w:hAnsi="Times New Roman" w:cs="Times New Roman"/>
          <w:sz w:val="24"/>
          <w:szCs w:val="24"/>
          <w:lang w:eastAsia="pl-PL"/>
        </w:rPr>
        <w:t>Polsce potwierdziła ww. wnioski</w:t>
      </w:r>
      <w:r w:rsidR="00DF78C7" w:rsidRPr="0039474D">
        <w:rPr>
          <w:rStyle w:val="Odwoanieprzypisudolnego"/>
          <w:rFonts w:ascii="Times New Roman" w:eastAsia="Times New Roman" w:hAnsi="Times New Roman" w:cs="Times New Roman"/>
          <w:sz w:val="24"/>
          <w:szCs w:val="24"/>
          <w:lang w:eastAsia="pl-PL"/>
        </w:rPr>
        <w:footnoteReference w:id="3"/>
      </w:r>
      <w:r w:rsidR="00027895" w:rsidRPr="0039474D">
        <w:rPr>
          <w:rFonts w:ascii="Times New Roman" w:eastAsia="Times New Roman" w:hAnsi="Times New Roman" w:cs="Times New Roman"/>
          <w:sz w:val="24"/>
          <w:szCs w:val="24"/>
          <w:vertAlign w:val="superscript"/>
          <w:lang w:eastAsia="pl-PL"/>
        </w:rPr>
        <w:t>)</w:t>
      </w:r>
      <w:r w:rsidRPr="0039474D">
        <w:rPr>
          <w:rFonts w:ascii="Times New Roman" w:eastAsia="Times New Roman" w:hAnsi="Times New Roman" w:cs="Times New Roman"/>
          <w:sz w:val="24"/>
          <w:szCs w:val="24"/>
          <w:lang w:eastAsia="pl-PL"/>
        </w:rPr>
        <w:t xml:space="preserve">. Odpowiedniej opcji dla wskazanych grup dochodowych nie zapewnia rynek mieszkań własnościowych oraz komercyjny rynek mieszkań na wynajem. </w:t>
      </w:r>
    </w:p>
    <w:p w:rsidR="00E75557" w:rsidRPr="0039474D" w:rsidRDefault="00E75557"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Z powyższych analiz wynika konieczność reaktywowania finansowania budownictwa społecznego jako formuły użytkowania mieszkań adresowanej do zidentyfikowanych grup </w:t>
      </w:r>
      <w:r w:rsidRPr="0039474D">
        <w:rPr>
          <w:rFonts w:ascii="Times New Roman" w:eastAsia="Times New Roman" w:hAnsi="Times New Roman" w:cs="Times New Roman"/>
          <w:sz w:val="24"/>
          <w:szCs w:val="24"/>
          <w:lang w:eastAsia="pl-PL"/>
        </w:rPr>
        <w:lastRenderedPageBreak/>
        <w:t>docelowych wyłączonych obecnie z możliwości zaspokojenia potrzeb mieszkaniowych na rynku, a jednocześnie pozbawionych oparcia w funkcjonujących programach wsparcia mieszkalnictwa. Przeprowadzone analizy wskazały, że dostępność kredytów mieszkaniowych na zakup własnego mieszkania oraz dostępność mieszkań na wynajem na rynku komercyjnym jest bardz</w:t>
      </w:r>
      <w:r w:rsidR="009520B7" w:rsidRPr="0039474D">
        <w:rPr>
          <w:rFonts w:ascii="Times New Roman" w:eastAsia="Times New Roman" w:hAnsi="Times New Roman" w:cs="Times New Roman"/>
          <w:sz w:val="24"/>
          <w:szCs w:val="24"/>
          <w:lang w:eastAsia="pl-PL"/>
        </w:rPr>
        <w:t>o podobna (miesięczny czynsz za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wynajem mieszkania o danej powierzchni jest zbliżony do raty </w:t>
      </w:r>
      <w:r w:rsidR="009520B7" w:rsidRPr="0039474D">
        <w:rPr>
          <w:rFonts w:ascii="Times New Roman" w:eastAsia="Times New Roman" w:hAnsi="Times New Roman" w:cs="Times New Roman"/>
          <w:sz w:val="24"/>
          <w:szCs w:val="24"/>
          <w:lang w:eastAsia="pl-PL"/>
        </w:rPr>
        <w:t>spłaty kredytu zaciągniętego na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jego zakup). Kredyt mieszkaniowy na zasadach komercyjnych mogą zaciągnąć osoby najzamożniejsze, których dochody mieszczą się w ok</w:t>
      </w:r>
      <w:r w:rsidR="00EF7B6B" w:rsidRPr="0039474D">
        <w:rPr>
          <w:rFonts w:ascii="Times New Roman" w:eastAsia="Times New Roman" w:hAnsi="Times New Roman" w:cs="Times New Roman"/>
          <w:sz w:val="24"/>
          <w:szCs w:val="24"/>
          <w:lang w:eastAsia="pl-PL"/>
        </w:rPr>
        <w:t xml:space="preserve">oło </w:t>
      </w:r>
      <w:r w:rsidRPr="0039474D">
        <w:rPr>
          <w:rFonts w:ascii="Times New Roman" w:eastAsia="Times New Roman" w:hAnsi="Times New Roman" w:cs="Times New Roman"/>
          <w:sz w:val="24"/>
          <w:szCs w:val="24"/>
          <w:lang w:eastAsia="pl-PL"/>
        </w:rPr>
        <w:t>VIII</w:t>
      </w:r>
      <w:r w:rsidR="005849CE">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X decylu rozkładu wynagrodzeń. Funkcjonowanie programu „Mieszkanie dla młodych” i dostępny w jego ramach instrument wsparcia (dofinansowanie wkładu własnego) powoduje, że dostępność ta się zwiększa i o kredyt może się ubiegać dodatkowe 10% osób. Uwzględniając powyższe, odniesienie rynkowych możliwości zaspokojenia potrzeb mieszkaniowych do instrumentów władz publicznych mających na celu pomoc w zaspokojeniu potrzeb mieszkaniowych wskazuje, że wypełnienie luki adresowania instrumentów wsparcia powinno koncentrować nowe działania na inicjatywach wspier</w:t>
      </w:r>
      <w:r w:rsidR="009520B7" w:rsidRPr="0039474D">
        <w:rPr>
          <w:rFonts w:ascii="Times New Roman" w:eastAsia="Times New Roman" w:hAnsi="Times New Roman" w:cs="Times New Roman"/>
          <w:sz w:val="24"/>
          <w:szCs w:val="24"/>
          <w:lang w:eastAsia="pl-PL"/>
        </w:rPr>
        <w:t xml:space="preserve">ających </w:t>
      </w:r>
      <w:r w:rsidR="00BC4AF5" w:rsidRPr="0039474D">
        <w:rPr>
          <w:rFonts w:ascii="Times New Roman" w:eastAsia="Times New Roman" w:hAnsi="Times New Roman" w:cs="Times New Roman"/>
          <w:sz w:val="24"/>
          <w:szCs w:val="24"/>
          <w:lang w:eastAsia="pl-PL"/>
        </w:rPr>
        <w:t xml:space="preserve">budowę </w:t>
      </w:r>
      <w:r w:rsidR="009520B7" w:rsidRPr="0039474D">
        <w:rPr>
          <w:rFonts w:ascii="Times New Roman" w:eastAsia="Times New Roman" w:hAnsi="Times New Roman" w:cs="Times New Roman"/>
          <w:sz w:val="24"/>
          <w:szCs w:val="24"/>
          <w:lang w:eastAsia="pl-PL"/>
        </w:rPr>
        <w:t>mieszka</w:t>
      </w:r>
      <w:r w:rsidR="00BC4AF5" w:rsidRPr="0039474D">
        <w:rPr>
          <w:rFonts w:ascii="Times New Roman" w:eastAsia="Times New Roman" w:hAnsi="Times New Roman" w:cs="Times New Roman"/>
          <w:sz w:val="24"/>
          <w:szCs w:val="24"/>
          <w:lang w:eastAsia="pl-PL"/>
        </w:rPr>
        <w:t>ń</w:t>
      </w:r>
      <w:r w:rsidR="009520B7" w:rsidRPr="0039474D">
        <w:rPr>
          <w:rFonts w:ascii="Times New Roman" w:eastAsia="Times New Roman" w:hAnsi="Times New Roman" w:cs="Times New Roman"/>
          <w:sz w:val="24"/>
          <w:szCs w:val="24"/>
          <w:lang w:eastAsia="pl-PL"/>
        </w:rPr>
        <w:t xml:space="preserve"> na</w:t>
      </w:r>
      <w:r w:rsidR="00F749A5">
        <w:rPr>
          <w:rFonts w:ascii="Times New Roman" w:eastAsia="Times New Roman" w:hAnsi="Times New Roman" w:cs="Times New Roman"/>
          <w:sz w:val="24"/>
          <w:szCs w:val="24"/>
          <w:lang w:eastAsia="pl-PL"/>
        </w:rPr>
        <w:t xml:space="preserve"> </w:t>
      </w:r>
      <w:r w:rsidR="00ED1BF4" w:rsidRPr="0039474D">
        <w:rPr>
          <w:rFonts w:ascii="Times New Roman" w:eastAsia="Times New Roman" w:hAnsi="Times New Roman" w:cs="Times New Roman"/>
          <w:sz w:val="24"/>
          <w:szCs w:val="24"/>
          <w:lang w:eastAsia="pl-PL"/>
        </w:rPr>
        <w:t>wynajem o</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umiarkowanych, niższych od rynkowych</w:t>
      </w:r>
      <w:r w:rsidR="00477B9B"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czynszach.</w:t>
      </w:r>
    </w:p>
    <w:p w:rsidR="00080AD8" w:rsidRPr="0039474D" w:rsidRDefault="00E75557"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Opierając się na badani</w:t>
      </w:r>
      <w:r w:rsidR="00477B9B" w:rsidRPr="0039474D">
        <w:rPr>
          <w:rFonts w:ascii="Times New Roman" w:eastAsia="Times New Roman" w:hAnsi="Times New Roman" w:cs="Times New Roman"/>
          <w:sz w:val="24"/>
          <w:szCs w:val="24"/>
          <w:lang w:eastAsia="pl-PL"/>
        </w:rPr>
        <w:t>ach</w:t>
      </w:r>
      <w:r w:rsidRPr="0039474D">
        <w:rPr>
          <w:rFonts w:ascii="Times New Roman" w:eastAsia="Times New Roman" w:hAnsi="Times New Roman" w:cs="Times New Roman"/>
          <w:sz w:val="24"/>
          <w:szCs w:val="24"/>
          <w:lang w:eastAsia="pl-PL"/>
        </w:rPr>
        <w:t xml:space="preserve"> Instytutu Rozwoju Miast </w:t>
      </w:r>
      <w:r w:rsidR="00DB3690" w:rsidRPr="0039474D">
        <w:rPr>
          <w:rFonts w:ascii="Times New Roman" w:eastAsia="Times New Roman" w:hAnsi="Times New Roman" w:cs="Times New Roman"/>
          <w:sz w:val="24"/>
          <w:szCs w:val="24"/>
          <w:lang w:eastAsia="pl-PL"/>
        </w:rPr>
        <w:t xml:space="preserve">z 2008 i 2014 r. </w:t>
      </w:r>
      <w:r w:rsidRPr="0039474D">
        <w:rPr>
          <w:rFonts w:ascii="Times New Roman" w:eastAsia="Times New Roman" w:hAnsi="Times New Roman" w:cs="Times New Roman"/>
          <w:sz w:val="24"/>
          <w:szCs w:val="24"/>
          <w:lang w:eastAsia="pl-PL"/>
        </w:rPr>
        <w:t xml:space="preserve">oraz </w:t>
      </w:r>
      <w:r w:rsidR="00477B9B" w:rsidRPr="0039474D">
        <w:rPr>
          <w:rFonts w:ascii="Times New Roman" w:eastAsia="Times New Roman" w:hAnsi="Times New Roman" w:cs="Times New Roman"/>
          <w:sz w:val="24"/>
          <w:szCs w:val="24"/>
          <w:lang w:eastAsia="pl-PL"/>
        </w:rPr>
        <w:t xml:space="preserve">na </w:t>
      </w:r>
      <w:r w:rsidRPr="0039474D">
        <w:rPr>
          <w:rFonts w:ascii="Times New Roman" w:eastAsia="Times New Roman" w:hAnsi="Times New Roman" w:cs="Times New Roman"/>
          <w:sz w:val="24"/>
          <w:szCs w:val="24"/>
          <w:lang w:eastAsia="pl-PL"/>
        </w:rPr>
        <w:t>zapotrz</w:t>
      </w:r>
      <w:r w:rsidR="00ED1BF4" w:rsidRPr="0039474D">
        <w:rPr>
          <w:rFonts w:ascii="Times New Roman" w:eastAsia="Times New Roman" w:hAnsi="Times New Roman" w:cs="Times New Roman"/>
          <w:sz w:val="24"/>
          <w:szCs w:val="24"/>
          <w:lang w:eastAsia="pl-PL"/>
        </w:rPr>
        <w:t>ebowaniu zgłoszon</w:t>
      </w:r>
      <w:r w:rsidR="00477B9B" w:rsidRPr="0039474D">
        <w:rPr>
          <w:rFonts w:ascii="Times New Roman" w:eastAsia="Times New Roman" w:hAnsi="Times New Roman" w:cs="Times New Roman"/>
          <w:sz w:val="24"/>
          <w:szCs w:val="24"/>
          <w:lang w:eastAsia="pl-PL"/>
        </w:rPr>
        <w:t>ym</w:t>
      </w:r>
      <w:r w:rsidR="00DB3690" w:rsidRPr="0039474D">
        <w:rPr>
          <w:rFonts w:ascii="Times New Roman" w:eastAsia="Times New Roman" w:hAnsi="Times New Roman" w:cs="Times New Roman"/>
          <w:sz w:val="24"/>
          <w:szCs w:val="24"/>
          <w:lang w:eastAsia="pl-PL"/>
        </w:rPr>
        <w:t xml:space="preserve"> </w:t>
      </w:r>
      <w:r w:rsidR="00ED1BF4" w:rsidRPr="0039474D">
        <w:rPr>
          <w:rFonts w:ascii="Times New Roman" w:eastAsia="Times New Roman" w:hAnsi="Times New Roman" w:cs="Times New Roman"/>
          <w:sz w:val="24"/>
          <w:szCs w:val="24"/>
          <w:lang w:eastAsia="pl-PL"/>
        </w:rPr>
        <w:t>przez TBS</w:t>
      </w:r>
      <w:r w:rsidR="00C73610" w:rsidRPr="0039474D">
        <w:rPr>
          <w:rFonts w:ascii="Times New Roman" w:eastAsia="Times New Roman" w:hAnsi="Times New Roman" w:cs="Times New Roman"/>
          <w:sz w:val="24"/>
          <w:szCs w:val="24"/>
          <w:lang w:eastAsia="pl-PL"/>
        </w:rPr>
        <w:t>-y</w:t>
      </w:r>
      <w:r w:rsidR="00ED1BF4" w:rsidRPr="0039474D">
        <w:rPr>
          <w:rFonts w:ascii="Times New Roman" w:eastAsia="Times New Roman" w:hAnsi="Times New Roman" w:cs="Times New Roman"/>
          <w:sz w:val="24"/>
          <w:szCs w:val="24"/>
          <w:lang w:eastAsia="pl-PL"/>
        </w:rPr>
        <w:t xml:space="preserve"> 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ramach ostatnich edycji KFM, popyt na mieszkania społeczne czynszowe pozostaje niezaspokojony i jego skala w ostatnich latach oceniana była na poziomie ok. 100 tys. lokali. Analizy dostępności mieszkań omówione </w:t>
      </w:r>
      <w:r w:rsidR="00080AD8" w:rsidRPr="0039474D">
        <w:rPr>
          <w:rFonts w:ascii="Times New Roman" w:eastAsia="Times New Roman" w:hAnsi="Times New Roman" w:cs="Times New Roman"/>
          <w:sz w:val="24"/>
          <w:szCs w:val="24"/>
          <w:lang w:eastAsia="pl-PL"/>
        </w:rPr>
        <w:t xml:space="preserve">powyżej </w:t>
      </w:r>
      <w:r w:rsidRPr="0039474D">
        <w:rPr>
          <w:rFonts w:ascii="Times New Roman" w:eastAsia="Times New Roman" w:hAnsi="Times New Roman" w:cs="Times New Roman"/>
          <w:sz w:val="24"/>
          <w:szCs w:val="24"/>
          <w:lang w:eastAsia="pl-PL"/>
        </w:rPr>
        <w:t xml:space="preserve">świadczą o tym, że obecne deficyty mieszkań w segmencie społecznym czynszowym mogą znacznie przekraczać te szacunki. </w:t>
      </w:r>
    </w:p>
    <w:p w:rsidR="007F570C" w:rsidRPr="0039474D" w:rsidRDefault="007F570C" w:rsidP="0039474D">
      <w:pPr>
        <w:spacing w:before="120" w:after="0" w:line="360" w:lineRule="auto"/>
        <w:jc w:val="both"/>
        <w:rPr>
          <w:rFonts w:ascii="Times New Roman" w:eastAsia="Times New Roman" w:hAnsi="Times New Roman" w:cs="Times New Roman"/>
          <w:sz w:val="24"/>
          <w:szCs w:val="24"/>
          <w:lang w:eastAsia="pl-PL"/>
        </w:rPr>
      </w:pPr>
    </w:p>
    <w:p w:rsidR="00080AD8" w:rsidRPr="002247E9" w:rsidRDefault="00080AD8" w:rsidP="0039474D">
      <w:pPr>
        <w:tabs>
          <w:tab w:val="left" w:pos="426"/>
        </w:tabs>
        <w:spacing w:before="120" w:after="0" w:line="360" w:lineRule="auto"/>
        <w:jc w:val="both"/>
        <w:rPr>
          <w:rFonts w:ascii="Times New Roman" w:eastAsia="Times New Roman" w:hAnsi="Times New Roman" w:cs="Times New Roman"/>
          <w:color w:val="000000" w:themeColor="text1"/>
          <w:sz w:val="24"/>
          <w:szCs w:val="24"/>
          <w:lang w:eastAsia="pl-PL"/>
        </w:rPr>
      </w:pPr>
      <w:r w:rsidRPr="002247E9">
        <w:rPr>
          <w:rFonts w:ascii="Times New Roman" w:eastAsia="Times New Roman" w:hAnsi="Times New Roman" w:cs="Times New Roman"/>
          <w:color w:val="000000" w:themeColor="text1"/>
          <w:sz w:val="24"/>
          <w:szCs w:val="24"/>
          <w:lang w:eastAsia="pl-PL"/>
        </w:rPr>
        <w:t>III. UWARUNKOWANIA STRATEGICZNE I PROGRAMOWE</w:t>
      </w:r>
    </w:p>
    <w:p w:rsidR="00E75557" w:rsidRPr="0039474D" w:rsidRDefault="00E75557"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Powyższy wniosek koresponduje z oceną braku wystarczającego instrumentarium polityki mieszkaniowej, zgodnie z diagnozą i odpowiadającym kierunkiem działań strategicznych, odzwierciedlonymi w podstawowych dokumentach strategicznych przyjętych przez Radę Ministrów. W ramach Strategii Rozwoju Kraju 2020 przewidziano m.in. takie działania</w:t>
      </w:r>
      <w:r w:rsidR="00477B9B"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jak stworzenie efektywnego systemu wynajmu mieszkań, zarówno w celu zwiększen</w:t>
      </w:r>
      <w:r w:rsidR="00ED1BF4" w:rsidRPr="0039474D">
        <w:rPr>
          <w:rFonts w:ascii="Times New Roman" w:eastAsia="Times New Roman" w:hAnsi="Times New Roman" w:cs="Times New Roman"/>
          <w:sz w:val="24"/>
          <w:szCs w:val="24"/>
          <w:lang w:eastAsia="pl-PL"/>
        </w:rPr>
        <w:t>ia mobilności zawodowej</w:t>
      </w:r>
      <w:r w:rsidR="00477B9B" w:rsidRPr="0039474D">
        <w:rPr>
          <w:rFonts w:ascii="Times New Roman" w:eastAsia="Times New Roman" w:hAnsi="Times New Roman" w:cs="Times New Roman"/>
          <w:sz w:val="24"/>
          <w:szCs w:val="24"/>
          <w:lang w:eastAsia="pl-PL"/>
        </w:rPr>
        <w:t>,</w:t>
      </w:r>
      <w:r w:rsidR="00ED1BF4" w:rsidRPr="0039474D">
        <w:rPr>
          <w:rFonts w:ascii="Times New Roman" w:eastAsia="Times New Roman" w:hAnsi="Times New Roman" w:cs="Times New Roman"/>
          <w:sz w:val="24"/>
          <w:szCs w:val="24"/>
          <w:lang w:eastAsia="pl-PL"/>
        </w:rPr>
        <w:t xml:space="preserve"> jak i</w:t>
      </w:r>
      <w:r w:rsidR="00F749A5">
        <w:rPr>
          <w:rFonts w:ascii="Times New Roman" w:eastAsia="Times New Roman" w:hAnsi="Times New Roman" w:cs="Times New Roman"/>
          <w:sz w:val="24"/>
          <w:szCs w:val="24"/>
          <w:lang w:eastAsia="pl-PL"/>
        </w:rPr>
        <w:t xml:space="preserve"> </w:t>
      </w:r>
      <w:r w:rsidR="00ED1BF4" w:rsidRPr="0039474D">
        <w:rPr>
          <w:rFonts w:ascii="Times New Roman" w:eastAsia="Times New Roman" w:hAnsi="Times New Roman" w:cs="Times New Roman"/>
          <w:sz w:val="24"/>
          <w:szCs w:val="24"/>
          <w:lang w:eastAsia="pl-PL"/>
        </w:rPr>
        <w:t>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celu zmniejszenia ubóstwa w grupach najbardziej nim zagrożonych. Rozwinięcie kierunków zarysowanych w ww. strategii znalazło swoje odzwierciedlenie w Strategii Rozwoju Kapitału Ludzkiego, przyjętej przez </w:t>
      </w:r>
      <w:r w:rsidR="00477B9B" w:rsidRPr="0039474D">
        <w:rPr>
          <w:rFonts w:ascii="Times New Roman" w:eastAsia="Times New Roman" w:hAnsi="Times New Roman" w:cs="Times New Roman"/>
          <w:sz w:val="24"/>
          <w:szCs w:val="24"/>
          <w:lang w:eastAsia="pl-PL"/>
        </w:rPr>
        <w:t>Radę Ministrów</w:t>
      </w:r>
      <w:r w:rsidRPr="0039474D">
        <w:rPr>
          <w:rFonts w:ascii="Times New Roman" w:eastAsia="Times New Roman" w:hAnsi="Times New Roman" w:cs="Times New Roman"/>
          <w:sz w:val="24"/>
          <w:szCs w:val="24"/>
          <w:lang w:eastAsia="pl-PL"/>
        </w:rPr>
        <w:t xml:space="preserve"> w dniu 18 czerwca 2013 r., a następnie w dokumencie implementującym ww. Strategię. W ramach działań zaplanowanych przez rząd znalazło się działanie pn. „Modyfikacja systemu </w:t>
      </w:r>
      <w:r w:rsidRPr="0039474D">
        <w:rPr>
          <w:rFonts w:ascii="Times New Roman" w:eastAsia="Times New Roman" w:hAnsi="Times New Roman" w:cs="Times New Roman"/>
          <w:sz w:val="24"/>
          <w:szCs w:val="24"/>
          <w:lang w:eastAsia="pl-PL"/>
        </w:rPr>
        <w:lastRenderedPageBreak/>
        <w:t>funkcjonowania i finansowania budownictwa s</w:t>
      </w:r>
      <w:r w:rsidR="0006389E" w:rsidRPr="0039474D">
        <w:rPr>
          <w:rFonts w:ascii="Times New Roman" w:eastAsia="Times New Roman" w:hAnsi="Times New Roman" w:cs="Times New Roman"/>
          <w:sz w:val="24"/>
          <w:szCs w:val="24"/>
          <w:lang w:eastAsia="pl-PL"/>
        </w:rPr>
        <w:t>połecznego”. Działanie to</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zostało umieszone w trzech kontekstach</w:t>
      </w:r>
      <w:r w:rsidR="00477B9B" w:rsidRPr="0039474D">
        <w:rPr>
          <w:rFonts w:ascii="Times New Roman" w:eastAsia="Times New Roman" w:hAnsi="Times New Roman" w:cs="Times New Roman"/>
          <w:sz w:val="24"/>
          <w:szCs w:val="24"/>
          <w:lang w:eastAsia="pl-PL"/>
        </w:rPr>
        <w:t>:</w:t>
      </w:r>
      <w:r w:rsidR="00FD67DF" w:rsidRPr="0039474D">
        <w:rPr>
          <w:rStyle w:val="Odwoanieprzypisudolnego"/>
          <w:rFonts w:ascii="Times New Roman" w:eastAsia="Times New Roman" w:hAnsi="Times New Roman" w:cs="Times New Roman"/>
          <w:sz w:val="24"/>
          <w:szCs w:val="24"/>
          <w:lang w:eastAsia="pl-PL"/>
        </w:rPr>
        <w:footnoteReference w:id="4"/>
      </w:r>
      <w:r w:rsidR="00027895" w:rsidRPr="0039474D">
        <w:rPr>
          <w:rFonts w:ascii="Times New Roman" w:eastAsia="Times New Roman" w:hAnsi="Times New Roman" w:cs="Times New Roman"/>
          <w:sz w:val="24"/>
          <w:szCs w:val="24"/>
          <w:vertAlign w:val="superscript"/>
          <w:lang w:eastAsia="pl-PL"/>
        </w:rPr>
        <w:t>)</w:t>
      </w:r>
      <w:r w:rsidRPr="0039474D">
        <w:rPr>
          <w:rFonts w:ascii="Times New Roman" w:eastAsia="Times New Roman" w:hAnsi="Times New Roman" w:cs="Times New Roman"/>
          <w:sz w:val="24"/>
          <w:szCs w:val="24"/>
          <w:lang w:eastAsia="pl-PL"/>
        </w:rPr>
        <w:t xml:space="preserve"> (a) wsparcia mobilności terytorialnej poprzez odpowiednie elementy polityki mieszkaniowej, (b) zwiększenia dostępności mieszkań, jako elementu polityki demograficznej oraz (c) zapobiegania wykluczeniu społecznemu w aspekcie mieszkaniowym.</w:t>
      </w:r>
    </w:p>
    <w:p w:rsidR="00546627" w:rsidRPr="0039474D" w:rsidRDefault="00546627" w:rsidP="0039474D">
      <w:pPr>
        <w:tabs>
          <w:tab w:val="left" w:pos="426"/>
        </w:tabs>
        <w:spacing w:before="120" w:after="0" w:line="360" w:lineRule="auto"/>
        <w:jc w:val="both"/>
        <w:rPr>
          <w:rFonts w:ascii="Times New Roman" w:eastAsia="Times New Roman" w:hAnsi="Times New Roman" w:cs="Times New Roman"/>
          <w:b/>
          <w:color w:val="000000" w:themeColor="text1"/>
          <w:sz w:val="24"/>
          <w:szCs w:val="24"/>
          <w:lang w:eastAsia="pl-PL"/>
        </w:rPr>
      </w:pPr>
    </w:p>
    <w:p w:rsidR="00EF7D80" w:rsidRPr="002247E9" w:rsidRDefault="00080AD8" w:rsidP="0039474D">
      <w:pPr>
        <w:tabs>
          <w:tab w:val="left" w:pos="426"/>
        </w:tabs>
        <w:spacing w:before="120" w:after="0" w:line="360" w:lineRule="auto"/>
        <w:jc w:val="both"/>
        <w:rPr>
          <w:rFonts w:ascii="Times New Roman" w:eastAsia="Times New Roman" w:hAnsi="Times New Roman" w:cs="Times New Roman"/>
          <w:sz w:val="24"/>
          <w:szCs w:val="24"/>
          <w:lang w:eastAsia="pl-PL"/>
        </w:rPr>
      </w:pPr>
      <w:r w:rsidRPr="002247E9">
        <w:rPr>
          <w:rFonts w:ascii="Times New Roman" w:eastAsia="Times New Roman" w:hAnsi="Times New Roman" w:cs="Times New Roman"/>
          <w:color w:val="000000" w:themeColor="text1"/>
          <w:sz w:val="24"/>
          <w:szCs w:val="24"/>
          <w:lang w:eastAsia="pl-PL"/>
        </w:rPr>
        <w:t>IV. UWARUNKOWANIA FINANSOWE</w:t>
      </w:r>
      <w:r w:rsidR="00671975" w:rsidRPr="002247E9">
        <w:rPr>
          <w:rFonts w:ascii="Times New Roman" w:eastAsia="Times New Roman" w:hAnsi="Times New Roman" w:cs="Times New Roman"/>
          <w:sz w:val="24"/>
          <w:szCs w:val="24"/>
          <w:lang w:eastAsia="pl-PL"/>
        </w:rPr>
        <w:t xml:space="preserve"> </w:t>
      </w:r>
      <w:r w:rsidR="002247E9">
        <w:rPr>
          <w:rFonts w:ascii="Times New Roman" w:eastAsia="Times New Roman" w:hAnsi="Times New Roman" w:cs="Times New Roman"/>
          <w:sz w:val="24"/>
          <w:szCs w:val="24"/>
          <w:lang w:eastAsia="pl-PL"/>
        </w:rPr>
        <w:t>–</w:t>
      </w:r>
      <w:r w:rsidR="00671975" w:rsidRPr="002247E9">
        <w:rPr>
          <w:rFonts w:ascii="Times New Roman" w:eastAsia="Times New Roman" w:hAnsi="Times New Roman" w:cs="Times New Roman"/>
          <w:sz w:val="24"/>
          <w:szCs w:val="24"/>
          <w:lang w:eastAsia="pl-PL"/>
        </w:rPr>
        <w:t xml:space="preserve"> </w:t>
      </w:r>
      <w:r w:rsidR="00EF7D80" w:rsidRPr="002247E9">
        <w:rPr>
          <w:rFonts w:ascii="Times New Roman" w:eastAsia="Times New Roman" w:hAnsi="Times New Roman" w:cs="Times New Roman"/>
          <w:color w:val="000000" w:themeColor="text1"/>
          <w:sz w:val="24"/>
          <w:szCs w:val="24"/>
          <w:lang w:eastAsia="pl-PL"/>
        </w:rPr>
        <w:t>CHARAKTERYSTYKA WYDATKÓW BUDŻETOWYCH</w:t>
      </w:r>
    </w:p>
    <w:p w:rsidR="00EF7D80" w:rsidRPr="0039474D" w:rsidRDefault="00EF7D80"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Przyjęto, że finansowanie programu będzie przebiegało etapowo, z uwzględnieniem struktury wydatków budżetowych związanych z realizacją obecnych instrumentów wsparcia mieszkalnictwa oraz ich prognozowanych wysokości w najbliższych latach. W okresie ponoszenia najwyższych obciążeń związanych z finansowaniem istniejących programów wsparcia o charakterze inwestycyjnym wprowadzenie nowego instrumentu BGK nie powinno istotnie wpływać na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zwiększenie poziomu łącznych wydatków budżetowych na mieszkalnictwo, wydatkowanych 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ramach obecnie funkcjonujących instrumentów wsparcia. </w:t>
      </w:r>
    </w:p>
    <w:p w:rsidR="00EF7D80" w:rsidRPr="0039474D" w:rsidRDefault="00EF7D80"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Zgodnie z prognozą wydatków bezpośrednich budżetu państwa w okresie do końca 202</w:t>
      </w:r>
      <w:r w:rsidR="00075344" w:rsidRPr="0039474D">
        <w:rPr>
          <w:rFonts w:ascii="Times New Roman" w:eastAsia="Times New Roman" w:hAnsi="Times New Roman" w:cs="Times New Roman"/>
          <w:sz w:val="24"/>
          <w:szCs w:val="24"/>
          <w:lang w:eastAsia="pl-PL"/>
        </w:rPr>
        <w:t>5</w:t>
      </w:r>
      <w:r w:rsidRPr="0039474D">
        <w:rPr>
          <w:rFonts w:ascii="Times New Roman" w:eastAsia="Times New Roman" w:hAnsi="Times New Roman" w:cs="Times New Roman"/>
          <w:sz w:val="24"/>
          <w:szCs w:val="24"/>
          <w:lang w:eastAsia="pl-PL"/>
        </w:rPr>
        <w:t xml:space="preserve"> r., kumulacja obciążeń budżetowych z tytułu realizacji dotychczasowych programów mieszkaniowych wspierających rozwój nowego budownictwa mieszkaniowego będzie następowała w okresie 2015</w:t>
      </w:r>
      <w:r w:rsidR="005849CE">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2018. Szacunek obciążeń budżetowych w ww. zakresie uwzględnia wydatki planowane corocznie 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ramach części 18. budżetu państwa, dotyczące finansowania zobowiązań z tytułu dopłat do</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oprocentowania kredytów udzielonych już w ramach programu „Rodzina na Swoim”, jak również wydatki budżetowe finansujące jedyny aktualnie program wsparcia sektora mieszkań czynszowych, którego celem jest zwiększenie zasobu lokali mieszkalny</w:t>
      </w:r>
      <w:r w:rsidR="00FD5672" w:rsidRPr="0039474D">
        <w:rPr>
          <w:rFonts w:ascii="Times New Roman" w:eastAsia="Times New Roman" w:hAnsi="Times New Roman" w:cs="Times New Roman"/>
          <w:sz w:val="24"/>
          <w:szCs w:val="24"/>
          <w:lang w:eastAsia="pl-PL"/>
        </w:rPr>
        <w:t>ch o charakterze interwencyjnym.</w:t>
      </w:r>
    </w:p>
    <w:p w:rsidR="00EF7D80" w:rsidRPr="0039474D" w:rsidRDefault="00EF7D80"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Ocenę uwarunkowań budżetowych oddziałujących na formę realizacji działań planowanych w ramach nowego modelu </w:t>
      </w:r>
      <w:r w:rsidR="00B438D9" w:rsidRPr="0039474D">
        <w:rPr>
          <w:rFonts w:ascii="Times New Roman" w:eastAsia="Times New Roman" w:hAnsi="Times New Roman" w:cs="Times New Roman"/>
          <w:sz w:val="24"/>
          <w:szCs w:val="24"/>
          <w:lang w:eastAsia="pl-PL"/>
        </w:rPr>
        <w:t xml:space="preserve">popierania budownictwa mieszkaniowego, w tym </w:t>
      </w:r>
      <w:r w:rsidRPr="0039474D">
        <w:rPr>
          <w:rFonts w:ascii="Times New Roman" w:eastAsia="Times New Roman" w:hAnsi="Times New Roman" w:cs="Times New Roman"/>
          <w:sz w:val="24"/>
          <w:szCs w:val="24"/>
          <w:lang w:eastAsia="pl-PL"/>
        </w:rPr>
        <w:t xml:space="preserve">społecznego budownictwa czynszowego uzupełnia prognoza wydatków budżetowych z tytułu wypłat </w:t>
      </w:r>
      <w:r w:rsidRPr="0039474D">
        <w:rPr>
          <w:rFonts w:ascii="Times New Roman" w:eastAsia="Times New Roman" w:hAnsi="Times New Roman" w:cs="Times New Roman"/>
          <w:sz w:val="24"/>
          <w:szCs w:val="24"/>
          <w:lang w:eastAsia="pl-PL"/>
        </w:rPr>
        <w:lastRenderedPageBreak/>
        <w:t>finansowego wsparcia w ramach programu „Mieszkanie dla Młodych”</w:t>
      </w:r>
      <w:r w:rsidR="00FD67DF" w:rsidRPr="0039474D">
        <w:rPr>
          <w:rStyle w:val="Odwoanieprzypisudolnego"/>
          <w:rFonts w:ascii="Times New Roman" w:eastAsia="Times New Roman" w:hAnsi="Times New Roman" w:cs="Times New Roman"/>
          <w:sz w:val="24"/>
          <w:szCs w:val="24"/>
          <w:lang w:eastAsia="pl-PL"/>
        </w:rPr>
        <w:footnoteReference w:id="5"/>
      </w:r>
      <w:r w:rsidR="005849CE">
        <w:rPr>
          <w:rFonts w:ascii="Times New Roman" w:eastAsia="Times New Roman" w:hAnsi="Times New Roman" w:cs="Times New Roman"/>
          <w:sz w:val="24"/>
          <w:szCs w:val="24"/>
          <w:vertAlign w:val="superscript"/>
          <w:lang w:eastAsia="pl-PL"/>
        </w:rPr>
        <w:t>)</w:t>
      </w:r>
      <w:r w:rsidR="00FD67DF" w:rsidRPr="0039474D">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W kolejnych latach prognozy przyjęte zostały</w:t>
      </w:r>
      <w:r w:rsidR="005C7CF2" w:rsidRPr="0039474D">
        <w:rPr>
          <w:rFonts w:ascii="Times New Roman" w:eastAsia="Times New Roman" w:hAnsi="Times New Roman" w:cs="Times New Roman"/>
          <w:sz w:val="24"/>
          <w:szCs w:val="24"/>
          <w:lang w:eastAsia="pl-PL"/>
        </w:rPr>
        <w:t xml:space="preserve"> na poziomie maksymalnym, tj. 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wysokościach odpowiadających limitom wypłat wsparcia finansowanego ze środków rezerwy celowej, określonych w art. 36 ust. 1 ustawy z dnia 27 września 2013 r. o pomocy państwa w nabyciu własnego mieszkania przez ludzi młodych. Zgodnie z ww. ustawą, pomoc udzielana przez Fundusz Dopłat w związku z</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dofinansowaniem wkładu własnego będzie wypłacana do końca 2018 r. Po tym okresie wydatki budżetowe w ramach programu mogą dotyczyć wyłącznie wypłat wsparcia w ramach formy dodatkowej, wspierającej kredytobiorców w spłacie kredytu w związku z urodzeniem dziecka, na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warunkach określonych w ustawie.</w:t>
      </w:r>
    </w:p>
    <w:p w:rsidR="00EF7D80" w:rsidRPr="0039474D" w:rsidRDefault="00EF7D80"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Uwzględniając prognozowany rozkład wydatków budżetowych związanych z obsługą istniejących programów przyjęto, że koncepcja finansowania nowego programu społecznego budownictwa czynszowego opierała się będzie na takiej formule przekazywania z budżetu państwa dopłat do puli kredytów udzielanych corocznie przez BGK, która:</w:t>
      </w:r>
    </w:p>
    <w:p w:rsidR="00EF7D80" w:rsidRPr="0039474D" w:rsidRDefault="00EF7D80" w:rsidP="00F5508D">
      <w:pPr>
        <w:pStyle w:val="Akapitzlist"/>
        <w:numPr>
          <w:ilvl w:val="0"/>
          <w:numId w:val="17"/>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pozwoli na uruchomienie w edycji 2015/16, a następnie kontynuację w ramach </w:t>
      </w:r>
      <w:proofErr w:type="spellStart"/>
      <w:r w:rsidR="004D3F85" w:rsidRPr="0039474D">
        <w:rPr>
          <w:rFonts w:ascii="Times New Roman" w:eastAsia="Times New Roman" w:hAnsi="Times New Roman" w:cs="Times New Roman"/>
          <w:sz w:val="24"/>
          <w:szCs w:val="24"/>
          <w:lang w:eastAsia="pl-PL"/>
        </w:rPr>
        <w:t>dziesięciu</w:t>
      </w:r>
      <w:r w:rsidRPr="0039474D">
        <w:rPr>
          <w:rFonts w:ascii="Times New Roman" w:eastAsia="Times New Roman" w:hAnsi="Times New Roman" w:cs="Times New Roman"/>
          <w:sz w:val="24"/>
          <w:szCs w:val="24"/>
          <w:lang w:eastAsia="pl-PL"/>
        </w:rPr>
        <w:t>edycji</w:t>
      </w:r>
      <w:proofErr w:type="spellEnd"/>
      <w:r w:rsidRPr="0039474D">
        <w:rPr>
          <w:rFonts w:ascii="Times New Roman" w:eastAsia="Times New Roman" w:hAnsi="Times New Roman" w:cs="Times New Roman"/>
          <w:sz w:val="24"/>
          <w:szCs w:val="24"/>
          <w:lang w:eastAsia="pl-PL"/>
        </w:rPr>
        <w:t>, nowego programu finansowania programu społecznego budownictwa czynszowego na zakładanym poziomie</w:t>
      </w:r>
      <w:r w:rsidR="00EC3570" w:rsidRPr="0039474D">
        <w:rPr>
          <w:rFonts w:ascii="Times New Roman" w:eastAsia="Times New Roman" w:hAnsi="Times New Roman" w:cs="Times New Roman"/>
          <w:sz w:val="24"/>
          <w:szCs w:val="24"/>
          <w:lang w:eastAsia="pl-PL"/>
        </w:rPr>
        <w:t xml:space="preserve"> ok.</w:t>
      </w:r>
      <w:r w:rsidRPr="0039474D">
        <w:rPr>
          <w:rFonts w:ascii="Times New Roman" w:eastAsia="Times New Roman" w:hAnsi="Times New Roman" w:cs="Times New Roman"/>
          <w:sz w:val="24"/>
          <w:szCs w:val="24"/>
          <w:lang w:eastAsia="pl-PL"/>
        </w:rPr>
        <w:t xml:space="preserve"> </w:t>
      </w:r>
      <w:r w:rsidR="004D3F85" w:rsidRPr="0039474D">
        <w:rPr>
          <w:rFonts w:ascii="Times New Roman" w:eastAsia="Times New Roman" w:hAnsi="Times New Roman" w:cs="Times New Roman"/>
          <w:sz w:val="24"/>
          <w:szCs w:val="24"/>
          <w:lang w:eastAsia="pl-PL"/>
        </w:rPr>
        <w:t>45</w:t>
      </w:r>
      <w:r w:rsidR="00205287" w:rsidRPr="0039474D">
        <w:rPr>
          <w:rFonts w:ascii="Times New Roman" w:eastAsia="Times New Roman" w:hAnsi="Times New Roman" w:cs="Times New Roman"/>
          <w:sz w:val="24"/>
          <w:szCs w:val="24"/>
          <w:lang w:eastAsia="pl-PL"/>
        </w:rPr>
        <w:t>0</w:t>
      </w:r>
      <w:r w:rsidRPr="0039474D">
        <w:rPr>
          <w:rFonts w:ascii="Times New Roman" w:eastAsia="Times New Roman" w:hAnsi="Times New Roman" w:cs="Times New Roman"/>
          <w:sz w:val="24"/>
          <w:szCs w:val="24"/>
          <w:lang w:eastAsia="pl-PL"/>
        </w:rPr>
        <w:t xml:space="preserve"> mln zł udzielanych kredytów rocznie</w:t>
      </w:r>
      <w:r w:rsidR="005849CE">
        <w:rPr>
          <w:rFonts w:ascii="Times New Roman" w:eastAsia="Times New Roman" w:hAnsi="Times New Roman" w:cs="Times New Roman"/>
          <w:sz w:val="24"/>
          <w:szCs w:val="24"/>
          <w:lang w:eastAsia="pl-PL"/>
        </w:rPr>
        <w:t>,</w:t>
      </w:r>
    </w:p>
    <w:p w:rsidR="00EF7D80" w:rsidRPr="0039474D" w:rsidRDefault="00EF7D80" w:rsidP="00F5508D">
      <w:pPr>
        <w:pStyle w:val="Akapitzlist"/>
        <w:numPr>
          <w:ilvl w:val="0"/>
          <w:numId w:val="17"/>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w okresie ponoszenia największych wydatków budżetowych związanych z programami </w:t>
      </w:r>
      <w:proofErr w:type="spellStart"/>
      <w:r w:rsidRPr="0039474D">
        <w:rPr>
          <w:rFonts w:ascii="Times New Roman" w:eastAsia="Times New Roman" w:hAnsi="Times New Roman" w:cs="Times New Roman"/>
          <w:sz w:val="24"/>
          <w:szCs w:val="24"/>
          <w:lang w:eastAsia="pl-PL"/>
        </w:rPr>
        <w:t>MdM</w:t>
      </w:r>
      <w:proofErr w:type="spellEnd"/>
      <w:r w:rsidRPr="0039474D">
        <w:rPr>
          <w:rFonts w:ascii="Times New Roman" w:eastAsia="Times New Roman" w:hAnsi="Times New Roman" w:cs="Times New Roman"/>
          <w:sz w:val="24"/>
          <w:szCs w:val="24"/>
          <w:lang w:eastAsia="pl-PL"/>
        </w:rPr>
        <w:t xml:space="preserve"> i </w:t>
      </w:r>
      <w:proofErr w:type="spellStart"/>
      <w:r w:rsidRPr="0039474D">
        <w:rPr>
          <w:rFonts w:ascii="Times New Roman" w:eastAsia="Times New Roman" w:hAnsi="Times New Roman" w:cs="Times New Roman"/>
          <w:sz w:val="24"/>
          <w:szCs w:val="24"/>
          <w:lang w:eastAsia="pl-PL"/>
        </w:rPr>
        <w:t>RnS</w:t>
      </w:r>
      <w:proofErr w:type="spellEnd"/>
      <w:r w:rsidRPr="0039474D">
        <w:rPr>
          <w:rFonts w:ascii="Times New Roman" w:eastAsia="Times New Roman" w:hAnsi="Times New Roman" w:cs="Times New Roman"/>
          <w:sz w:val="24"/>
          <w:szCs w:val="24"/>
          <w:lang w:eastAsia="pl-PL"/>
        </w:rPr>
        <w:t>, tj. w okresie do 2018 r. włącznie, nie będzie wymagała istotnego zwiększenia wydatków budżetu państwa związanych z realizacją nowego programu</w:t>
      </w:r>
      <w:r w:rsidR="005849CE">
        <w:rPr>
          <w:rFonts w:ascii="Times New Roman" w:eastAsia="Times New Roman" w:hAnsi="Times New Roman" w:cs="Times New Roman"/>
          <w:sz w:val="24"/>
          <w:szCs w:val="24"/>
          <w:lang w:eastAsia="pl-PL"/>
        </w:rPr>
        <w:t>,</w:t>
      </w:r>
    </w:p>
    <w:p w:rsidR="00546627" w:rsidRDefault="00EF7D80" w:rsidP="0039474D">
      <w:pPr>
        <w:pStyle w:val="Akapitzlist"/>
        <w:numPr>
          <w:ilvl w:val="0"/>
          <w:numId w:val="17"/>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przesunie główny ciężar wydatków budżetowych z tytułu dopłat do puli kredytów udzielonych przez BGK na okres </w:t>
      </w:r>
      <w:r w:rsidR="006E2FE3" w:rsidRPr="0039474D">
        <w:rPr>
          <w:rFonts w:ascii="Times New Roman" w:eastAsia="Times New Roman" w:hAnsi="Times New Roman" w:cs="Times New Roman"/>
          <w:sz w:val="24"/>
          <w:szCs w:val="24"/>
          <w:lang w:eastAsia="pl-PL"/>
        </w:rPr>
        <w:t>po</w:t>
      </w:r>
      <w:r w:rsidR="00EC3570" w:rsidRPr="0039474D">
        <w:rPr>
          <w:rFonts w:ascii="Times New Roman" w:eastAsia="Times New Roman" w:hAnsi="Times New Roman" w:cs="Times New Roman"/>
          <w:sz w:val="24"/>
          <w:szCs w:val="24"/>
          <w:lang w:eastAsia="pl-PL"/>
        </w:rPr>
        <w:t>cząwszy od</w:t>
      </w:r>
      <w:r w:rsidR="006E2FE3" w:rsidRPr="0039474D">
        <w:rPr>
          <w:rFonts w:ascii="Times New Roman" w:eastAsia="Times New Roman" w:hAnsi="Times New Roman" w:cs="Times New Roman"/>
          <w:sz w:val="24"/>
          <w:szCs w:val="24"/>
          <w:lang w:eastAsia="pl-PL"/>
        </w:rPr>
        <w:t xml:space="preserve"> </w:t>
      </w:r>
      <w:r w:rsidR="00EC3570" w:rsidRPr="0039474D">
        <w:rPr>
          <w:rFonts w:ascii="Times New Roman" w:eastAsia="Times New Roman" w:hAnsi="Times New Roman" w:cs="Times New Roman"/>
          <w:sz w:val="24"/>
          <w:szCs w:val="24"/>
          <w:lang w:eastAsia="pl-PL"/>
        </w:rPr>
        <w:t xml:space="preserve">lat </w:t>
      </w:r>
      <w:r w:rsidRPr="0039474D">
        <w:rPr>
          <w:rFonts w:ascii="Times New Roman" w:eastAsia="Times New Roman" w:hAnsi="Times New Roman" w:cs="Times New Roman"/>
          <w:sz w:val="24"/>
          <w:szCs w:val="24"/>
          <w:lang w:eastAsia="pl-PL"/>
        </w:rPr>
        <w:t>2019/</w:t>
      </w:r>
      <w:r w:rsidR="00EC3570" w:rsidRPr="0039474D">
        <w:rPr>
          <w:rFonts w:ascii="Times New Roman" w:eastAsia="Times New Roman" w:hAnsi="Times New Roman" w:cs="Times New Roman"/>
          <w:sz w:val="24"/>
          <w:szCs w:val="24"/>
          <w:lang w:eastAsia="pl-PL"/>
        </w:rPr>
        <w:t>20</w:t>
      </w:r>
      <w:r w:rsidRPr="0039474D">
        <w:rPr>
          <w:rFonts w:ascii="Times New Roman" w:eastAsia="Times New Roman" w:hAnsi="Times New Roman" w:cs="Times New Roman"/>
          <w:sz w:val="24"/>
          <w:szCs w:val="24"/>
          <w:lang w:eastAsia="pl-PL"/>
        </w:rPr>
        <w:t>20, pozwalając na zamknięcie rozliczeń między budżetem państwa a BGK</w:t>
      </w:r>
      <w:r w:rsidR="00EC3570" w:rsidRPr="0039474D">
        <w:rPr>
          <w:rFonts w:ascii="Times New Roman" w:eastAsia="Times New Roman" w:hAnsi="Times New Roman" w:cs="Times New Roman"/>
          <w:sz w:val="24"/>
          <w:szCs w:val="24"/>
          <w:lang w:eastAsia="pl-PL"/>
        </w:rPr>
        <w:t xml:space="preserve"> dla pierwszych pięciu edycji programu w okresie 2019/20, a w kolejnych pięciu edycjach </w:t>
      </w:r>
      <w:proofErr w:type="spellStart"/>
      <w:r w:rsidR="00EC3570" w:rsidRPr="0039474D">
        <w:rPr>
          <w:rFonts w:ascii="Times New Roman" w:eastAsia="Times New Roman" w:hAnsi="Times New Roman" w:cs="Times New Roman"/>
          <w:sz w:val="24"/>
          <w:szCs w:val="24"/>
          <w:lang w:eastAsia="pl-PL"/>
        </w:rPr>
        <w:t>jedorazowe</w:t>
      </w:r>
      <w:proofErr w:type="spellEnd"/>
      <w:r w:rsidR="00EC3570" w:rsidRPr="0039474D">
        <w:rPr>
          <w:rFonts w:ascii="Times New Roman" w:eastAsia="Times New Roman" w:hAnsi="Times New Roman" w:cs="Times New Roman"/>
          <w:sz w:val="24"/>
          <w:szCs w:val="24"/>
          <w:lang w:eastAsia="pl-PL"/>
        </w:rPr>
        <w:t xml:space="preserve"> rozliczanie całości przysługujących dopłat dla każdej z edycji</w:t>
      </w:r>
      <w:r w:rsidR="006E2FE3" w:rsidRPr="0039474D">
        <w:rPr>
          <w:rFonts w:ascii="Times New Roman" w:eastAsia="Times New Roman" w:hAnsi="Times New Roman" w:cs="Times New Roman"/>
          <w:sz w:val="24"/>
          <w:szCs w:val="24"/>
          <w:lang w:eastAsia="pl-PL"/>
        </w:rPr>
        <w:t xml:space="preserve"> </w:t>
      </w:r>
      <w:r w:rsidR="00EC3570"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przed upływem okresu </w:t>
      </w:r>
      <w:r w:rsidR="004D3F85" w:rsidRPr="0039474D">
        <w:rPr>
          <w:rFonts w:ascii="Times New Roman" w:eastAsia="Times New Roman" w:hAnsi="Times New Roman" w:cs="Times New Roman"/>
          <w:sz w:val="24"/>
          <w:szCs w:val="24"/>
          <w:lang w:eastAsia="pl-PL"/>
        </w:rPr>
        <w:t>10</w:t>
      </w:r>
      <w:r w:rsidR="00477B9B"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edycji realizacji programu</w:t>
      </w:r>
      <w:r w:rsidR="00EC3570" w:rsidRPr="0039474D">
        <w:rPr>
          <w:rFonts w:ascii="Times New Roman" w:eastAsia="Times New Roman" w:hAnsi="Times New Roman" w:cs="Times New Roman"/>
          <w:sz w:val="24"/>
          <w:szCs w:val="24"/>
          <w:lang w:eastAsia="pl-PL"/>
        </w:rPr>
        <w:t xml:space="preserve"> całość zobowiązań po stronie budżetu państwa względem BGK zostałaby rozliczona)</w:t>
      </w:r>
      <w:r w:rsidRPr="0039474D">
        <w:rPr>
          <w:rFonts w:ascii="Times New Roman" w:eastAsia="Times New Roman" w:hAnsi="Times New Roman" w:cs="Times New Roman"/>
          <w:sz w:val="24"/>
          <w:szCs w:val="24"/>
          <w:lang w:eastAsia="pl-PL"/>
        </w:rPr>
        <w:t>.</w:t>
      </w:r>
    </w:p>
    <w:p w:rsidR="00F5508D" w:rsidRDefault="00F5508D">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DF78C7" w:rsidRPr="002247E9" w:rsidRDefault="00EF7D80" w:rsidP="0039474D">
      <w:pPr>
        <w:spacing w:before="120" w:after="0" w:line="360" w:lineRule="auto"/>
        <w:jc w:val="both"/>
        <w:rPr>
          <w:rFonts w:ascii="Times New Roman" w:eastAsia="Times New Roman" w:hAnsi="Times New Roman" w:cs="Times New Roman"/>
          <w:sz w:val="24"/>
          <w:szCs w:val="24"/>
          <w:lang w:eastAsia="pl-PL"/>
        </w:rPr>
      </w:pPr>
      <w:r w:rsidRPr="002247E9">
        <w:rPr>
          <w:rFonts w:ascii="Times New Roman" w:eastAsia="Times New Roman" w:hAnsi="Times New Roman" w:cs="Times New Roman"/>
          <w:sz w:val="24"/>
          <w:szCs w:val="24"/>
          <w:lang w:eastAsia="pl-PL"/>
        </w:rPr>
        <w:lastRenderedPageBreak/>
        <w:t>Prognozowane wydatki budżetu państwa przeznaczone na finansowanie programów wsparcia nowego budownictwa mieszkaniowego (mln zł):</w:t>
      </w:r>
    </w:p>
    <w:p w:rsidR="00216295" w:rsidRPr="00A67280" w:rsidRDefault="00216295" w:rsidP="0099556D">
      <w:pPr>
        <w:spacing w:after="0" w:line="240" w:lineRule="auto"/>
        <w:jc w:val="both"/>
        <w:rPr>
          <w:rFonts w:eastAsia="Times New Roman" w:cs="Arial"/>
          <w:i/>
          <w:lang w:eastAsia="pl-PL"/>
        </w:rPr>
      </w:pPr>
    </w:p>
    <w:p w:rsidR="00481781" w:rsidRPr="00A67280" w:rsidRDefault="00216295" w:rsidP="0099556D">
      <w:pPr>
        <w:spacing w:after="0" w:line="240" w:lineRule="auto"/>
        <w:jc w:val="both"/>
        <w:rPr>
          <w:rFonts w:eastAsia="Times New Roman" w:cs="Arial"/>
          <w:i/>
          <w:lang w:eastAsia="pl-PL"/>
        </w:rPr>
      </w:pPr>
      <w:r w:rsidRPr="00216295">
        <w:rPr>
          <w:rFonts w:eastAsia="Times New Roman" w:cs="Arial"/>
          <w:i/>
          <w:noProof/>
          <w:lang w:eastAsia="pl-PL"/>
        </w:rPr>
        <w:drawing>
          <wp:inline distT="0" distB="0" distL="0" distR="0">
            <wp:extent cx="5657850" cy="3667125"/>
            <wp:effectExtent l="0" t="0" r="19050" b="9525"/>
            <wp:docPr id="3"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4CB8" w:rsidRDefault="00344CB8">
      <w:pPr>
        <w:spacing w:after="0" w:line="240" w:lineRule="auto"/>
        <w:jc w:val="both"/>
        <w:rPr>
          <w:rFonts w:eastAsia="Times New Roman" w:cs="Arial"/>
          <w:lang w:eastAsia="pl-PL"/>
        </w:rPr>
      </w:pPr>
    </w:p>
    <w:p w:rsidR="000D5CAB" w:rsidRDefault="000D5CAB" w:rsidP="008F2B25">
      <w:pPr>
        <w:spacing w:after="120" w:line="240" w:lineRule="exact"/>
        <w:jc w:val="both"/>
        <w:rPr>
          <w:rFonts w:eastAsia="Times New Roman" w:cs="Arial"/>
          <w:lang w:eastAsia="pl-PL"/>
        </w:rPr>
        <w:sectPr w:rsidR="000D5CAB" w:rsidSect="00F749A5">
          <w:footerReference w:type="default" r:id="rId10"/>
          <w:pgSz w:w="11906" w:h="16838"/>
          <w:pgMar w:top="1417" w:right="1417" w:bottom="1417" w:left="1417" w:header="708" w:footer="708" w:gutter="0"/>
          <w:cols w:space="708"/>
          <w:titlePg/>
          <w:docGrid w:linePitch="360"/>
        </w:sectPr>
      </w:pPr>
    </w:p>
    <w:p w:rsidR="000D5CAB" w:rsidRDefault="000D5CAB" w:rsidP="000D5CAB">
      <w:pPr>
        <w:spacing w:after="0" w:line="24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lastRenderedPageBreak/>
        <w:t>Prognozowane wydatki budżetu państwa przeznaczone na finansowanie programów wsparcia nowego budownictwa mieszkaniowego (mln zł)</w:t>
      </w:r>
    </w:p>
    <w:p w:rsidR="005C72EC" w:rsidRPr="005C72EC" w:rsidRDefault="005C72EC" w:rsidP="000D5CAB">
      <w:pPr>
        <w:spacing w:after="0" w:line="240" w:lineRule="auto"/>
        <w:jc w:val="both"/>
        <w:rPr>
          <w:rFonts w:ascii="Times New Roman" w:eastAsia="Times New Roman" w:hAnsi="Times New Roman" w:cs="Times New Roman"/>
          <w:sz w:val="8"/>
          <w:szCs w:val="8"/>
          <w:lang w:eastAsia="pl-PL"/>
        </w:rPr>
      </w:pPr>
    </w:p>
    <w:tbl>
      <w:tblPr>
        <w:tblW w:w="12951" w:type="dxa"/>
        <w:tblInd w:w="-6" w:type="dxa"/>
        <w:tblCellMar>
          <w:left w:w="0" w:type="dxa"/>
          <w:right w:w="0" w:type="dxa"/>
        </w:tblCellMar>
        <w:tblLook w:val="0600" w:firstRow="0" w:lastRow="0" w:firstColumn="0" w:lastColumn="0" w:noHBand="1" w:noVBand="1"/>
      </w:tblPr>
      <w:tblGrid>
        <w:gridCol w:w="1118"/>
        <w:gridCol w:w="1066"/>
        <w:gridCol w:w="1066"/>
        <w:gridCol w:w="1066"/>
        <w:gridCol w:w="1067"/>
        <w:gridCol w:w="1067"/>
        <w:gridCol w:w="1067"/>
        <w:gridCol w:w="1067"/>
        <w:gridCol w:w="1067"/>
        <w:gridCol w:w="1067"/>
        <w:gridCol w:w="1067"/>
        <w:gridCol w:w="1166"/>
      </w:tblGrid>
      <w:tr w:rsidR="000D5CAB"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shd w:val="clear" w:color="auto" w:fill="D9D9D9"/>
          </w:tcPr>
          <w:p w:rsidR="000D5CAB" w:rsidRPr="00F5508D" w:rsidRDefault="000D5CAB" w:rsidP="00423BFB">
            <w:pPr>
              <w:spacing w:after="0" w:line="226" w:lineRule="atLeast"/>
              <w:jc w:val="center"/>
              <w:textAlignment w:val="bottom"/>
              <w:rPr>
                <w:rFonts w:ascii="Times New Roman" w:eastAsia="Times New Roman" w:hAnsi="Times New Roman" w:cs="Times New Roman"/>
                <w:b/>
                <w:bCs/>
                <w:color w:val="000000"/>
                <w:kern w:val="24"/>
                <w:sz w:val="16"/>
                <w:szCs w:val="16"/>
                <w:lang w:eastAsia="pl-PL"/>
              </w:rPr>
            </w:pPr>
          </w:p>
        </w:tc>
        <w:tc>
          <w:tcPr>
            <w:tcW w:w="1066"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1 edycja</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2 edycja</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3 edycja</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4 edycja</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5 edycja</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6 edycja</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7 edycja</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8 edycja</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9 edycja</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10 edycja</w:t>
            </w:r>
          </w:p>
        </w:tc>
        <w:tc>
          <w:tcPr>
            <w:tcW w:w="1166"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0D5CAB" w:rsidRPr="00F5508D" w:rsidRDefault="000D5CAB" w:rsidP="00423BFB">
            <w:pPr>
              <w:spacing w:after="0" w:line="226" w:lineRule="atLeast"/>
              <w:jc w:val="center"/>
              <w:textAlignment w:val="bottom"/>
              <w:rPr>
                <w:rFonts w:ascii="Times New Roman" w:eastAsia="Times New Roman" w:hAnsi="Times New Roman" w:cs="Times New Roman"/>
                <w:sz w:val="36"/>
                <w:szCs w:val="36"/>
                <w:lang w:eastAsia="pl-PL"/>
              </w:rPr>
            </w:pPr>
            <w:r w:rsidRPr="00F5508D">
              <w:rPr>
                <w:rFonts w:ascii="Times New Roman" w:eastAsia="Times New Roman" w:hAnsi="Times New Roman" w:cs="Times New Roman"/>
                <w:b/>
                <w:bCs/>
                <w:color w:val="000000"/>
                <w:kern w:val="24"/>
                <w:sz w:val="16"/>
                <w:szCs w:val="16"/>
                <w:lang w:eastAsia="pl-PL"/>
              </w:rPr>
              <w:t>RAZEM</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5C72EC" w:rsidRDefault="00205287" w:rsidP="00423BFB">
            <w:pPr>
              <w:spacing w:after="0" w:line="240" w:lineRule="auto"/>
              <w:rPr>
                <w:rFonts w:ascii="Times New Roman" w:eastAsia="Times New Roman" w:hAnsi="Times New Roman" w:cs="Times New Roman"/>
                <w:b/>
                <w:bCs/>
                <w:color w:val="000000"/>
                <w:vertAlign w:val="superscript"/>
                <w:lang w:eastAsia="pl-PL"/>
              </w:rPr>
            </w:pPr>
            <w:r w:rsidRPr="00F5508D">
              <w:rPr>
                <w:rFonts w:ascii="Times New Roman" w:eastAsia="Times New Roman" w:hAnsi="Times New Roman" w:cs="Times New Roman"/>
                <w:b/>
                <w:bCs/>
                <w:color w:val="000000"/>
                <w:lang w:eastAsia="pl-PL"/>
              </w:rPr>
              <w:t>2015/2016</w:t>
            </w:r>
            <w:r w:rsidRPr="00F5508D">
              <w:rPr>
                <w:rFonts w:ascii="Times New Roman" w:eastAsia="Times New Roman" w:hAnsi="Times New Roman" w:cs="Times New Roman"/>
                <w:b/>
                <w:bCs/>
                <w:color w:val="000000"/>
                <w:vertAlign w:val="superscript"/>
                <w:lang w:eastAsia="pl-PL"/>
              </w:rPr>
              <w:footnoteReference w:id="6"/>
            </w:r>
            <w:r w:rsidR="005849CE">
              <w:rPr>
                <w:rFonts w:ascii="Times New Roman" w:eastAsia="Times New Roman" w:hAnsi="Times New Roman" w:cs="Times New Roman"/>
                <w:b/>
                <w:bCs/>
                <w:color w:val="000000"/>
                <w:vertAlign w:val="superscript"/>
                <w:lang w:eastAsia="pl-PL"/>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1,5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1,5</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2016/2017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5,7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1,5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7,2</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2017/2018</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5,6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5,7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1,5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12,8</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2018/2019</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5,4</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5,6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5,7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1,5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18,2</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2019/2020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62,7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66,4</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70,1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73,8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346,2</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2020/2021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2021/2022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2022/2023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2023/2024</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2024/2025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color w:val="000000"/>
                <w:sz w:val="20"/>
                <w:szCs w:val="20"/>
                <w:lang w:eastAsia="pl-PL"/>
              </w:rPr>
              <w:t>73,2</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r>
      <w:tr w:rsidR="00205287" w:rsidRPr="00F5508D" w:rsidTr="00423BFB">
        <w:trPr>
          <w:trHeight w:val="226"/>
        </w:trPr>
        <w:tc>
          <w:tcPr>
            <w:tcW w:w="111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05287" w:rsidRPr="00F5508D" w:rsidRDefault="00205287" w:rsidP="00423BFB">
            <w:pPr>
              <w:spacing w:after="0" w:line="240" w:lineRule="auto"/>
              <w:rPr>
                <w:rFonts w:ascii="Times New Roman" w:eastAsia="Times New Roman" w:hAnsi="Times New Roman" w:cs="Times New Roman"/>
                <w:b/>
                <w:bCs/>
                <w:color w:val="000000"/>
                <w:lang w:eastAsia="pl-PL"/>
              </w:rPr>
            </w:pPr>
            <w:r w:rsidRPr="00F5508D">
              <w:rPr>
                <w:rFonts w:ascii="Times New Roman" w:eastAsia="Times New Roman" w:hAnsi="Times New Roman" w:cs="Times New Roman"/>
                <w:b/>
                <w:bCs/>
                <w:color w:val="000000"/>
                <w:lang w:eastAsia="pl-PL"/>
              </w:rPr>
              <w:t>Łącznie</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80,9</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79,2</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77,3</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75,3</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c>
          <w:tcPr>
            <w:tcW w:w="106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73,2</w:t>
            </w:r>
          </w:p>
        </w:tc>
        <w:tc>
          <w:tcPr>
            <w:tcW w:w="1166"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0" w:type="dxa"/>
              <w:right w:w="11" w:type="dxa"/>
            </w:tcMar>
            <w:vAlign w:val="bottom"/>
            <w:hideMark/>
          </w:tcPr>
          <w:p w:rsidR="00205287" w:rsidRPr="00F5508D" w:rsidRDefault="00205287" w:rsidP="00423BFB">
            <w:pPr>
              <w:spacing w:after="0" w:line="226" w:lineRule="atLeast"/>
              <w:jc w:val="right"/>
              <w:textAlignment w:val="bottom"/>
              <w:rPr>
                <w:rFonts w:ascii="Times New Roman" w:eastAsia="Times New Roman" w:hAnsi="Times New Roman" w:cs="Times New Roman"/>
                <w:sz w:val="36"/>
                <w:szCs w:val="36"/>
                <w:lang w:eastAsia="pl-PL"/>
              </w:rPr>
            </w:pPr>
            <w:r w:rsidRPr="00F5508D">
              <w:rPr>
                <w:rFonts w:ascii="Times New Roman" w:hAnsi="Times New Roman" w:cs="Times New Roman"/>
                <w:b/>
                <w:bCs/>
                <w:color w:val="000000"/>
                <w:sz w:val="20"/>
                <w:szCs w:val="20"/>
                <w:lang w:eastAsia="pl-PL"/>
              </w:rPr>
              <w:t>751,9</w:t>
            </w:r>
          </w:p>
        </w:tc>
      </w:tr>
    </w:tbl>
    <w:p w:rsidR="000D5CAB" w:rsidRPr="0039474D" w:rsidRDefault="000D5CAB" w:rsidP="000D5CAB">
      <w:pPr>
        <w:spacing w:after="120" w:line="240" w:lineRule="auto"/>
        <w:jc w:val="both"/>
        <w:rPr>
          <w:rFonts w:ascii="Times New Roman" w:eastAsia="Times New Roman" w:hAnsi="Times New Roman" w:cs="Times New Roman"/>
          <w:lang w:eastAsia="pl-PL"/>
        </w:rPr>
      </w:pPr>
      <w:r w:rsidRPr="0039474D">
        <w:rPr>
          <w:rFonts w:ascii="Times New Roman" w:eastAsia="Times New Roman" w:hAnsi="Times New Roman" w:cs="Times New Roman"/>
          <w:lang w:eastAsia="pl-PL"/>
        </w:rPr>
        <w:t>Źródło: na podstawie szacunków BGK</w:t>
      </w:r>
    </w:p>
    <w:p w:rsidR="000D5CAB" w:rsidRDefault="000D5CAB" w:rsidP="000D5CAB"/>
    <w:p w:rsidR="000D5CAB" w:rsidRDefault="000D5CAB" w:rsidP="008F2B25">
      <w:pPr>
        <w:spacing w:after="120" w:line="240" w:lineRule="exact"/>
        <w:jc w:val="both"/>
        <w:rPr>
          <w:rFonts w:eastAsia="Times New Roman" w:cs="Arial"/>
          <w:lang w:eastAsia="pl-PL"/>
        </w:rPr>
        <w:sectPr w:rsidR="000D5CAB" w:rsidSect="000D5CAB">
          <w:pgSz w:w="16838" w:h="11906" w:orient="landscape"/>
          <w:pgMar w:top="1417" w:right="1417" w:bottom="1417" w:left="1417" w:header="708" w:footer="708" w:gutter="0"/>
          <w:cols w:space="708"/>
          <w:docGrid w:linePitch="360"/>
        </w:sectPr>
      </w:pPr>
    </w:p>
    <w:p w:rsidR="0099556D" w:rsidRDefault="006A0068" w:rsidP="0039474D">
      <w:pPr>
        <w:spacing w:before="120" w:after="0" w:line="360" w:lineRule="auto"/>
        <w:jc w:val="both"/>
        <w:rPr>
          <w:rFonts w:ascii="Times New Roman" w:eastAsia="Times New Roman" w:hAnsi="Times New Roman" w:cs="Times New Roman"/>
          <w:spacing w:val="-2"/>
          <w:sz w:val="24"/>
          <w:szCs w:val="24"/>
          <w:lang w:eastAsia="pl-PL"/>
        </w:rPr>
      </w:pPr>
      <w:r w:rsidRPr="0039474D">
        <w:rPr>
          <w:rFonts w:ascii="Times New Roman" w:eastAsia="Times New Roman" w:hAnsi="Times New Roman" w:cs="Times New Roman"/>
          <w:sz w:val="24"/>
          <w:szCs w:val="24"/>
          <w:lang w:eastAsia="pl-PL"/>
        </w:rPr>
        <w:lastRenderedPageBreak/>
        <w:t>Wykres i zestawienie przedstawiają poglądowy rozkład obciążeń budżetu państwa związanych z dopłatami dla BGK w</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ramach nowego programu społecznego budownictwa czynszowego</w:t>
      </w:r>
      <w:r w:rsidR="00FD5672" w:rsidRPr="0039474D">
        <w:rPr>
          <w:rFonts w:ascii="Times New Roman" w:eastAsia="Times New Roman" w:hAnsi="Times New Roman" w:cs="Times New Roman"/>
          <w:sz w:val="24"/>
          <w:szCs w:val="24"/>
          <w:lang w:eastAsia="pl-PL"/>
        </w:rPr>
        <w:t xml:space="preserve">. </w:t>
      </w:r>
      <w:r w:rsidR="0099556D" w:rsidRPr="0039474D">
        <w:rPr>
          <w:rFonts w:ascii="Times New Roman" w:eastAsia="Times New Roman" w:hAnsi="Times New Roman" w:cs="Times New Roman"/>
          <w:sz w:val="24"/>
          <w:szCs w:val="24"/>
          <w:lang w:eastAsia="pl-PL"/>
        </w:rPr>
        <w:t xml:space="preserve">Oszacowany poziom wysokości dopłat dla BGK w poszczególnych latach finansowania programu społecznego </w:t>
      </w:r>
      <w:r w:rsidR="0099556D" w:rsidRPr="0039474D">
        <w:rPr>
          <w:rFonts w:ascii="Times New Roman" w:eastAsia="Times New Roman" w:hAnsi="Times New Roman" w:cs="Times New Roman"/>
          <w:spacing w:val="-2"/>
          <w:sz w:val="24"/>
          <w:szCs w:val="24"/>
          <w:lang w:eastAsia="pl-PL"/>
        </w:rPr>
        <w:t>budownictwa czynszowego został okr</w:t>
      </w:r>
      <w:r w:rsidR="00DD2EE7" w:rsidRPr="0039474D">
        <w:rPr>
          <w:rFonts w:ascii="Times New Roman" w:eastAsia="Times New Roman" w:hAnsi="Times New Roman" w:cs="Times New Roman"/>
          <w:spacing w:val="-2"/>
          <w:sz w:val="24"/>
          <w:szCs w:val="24"/>
          <w:lang w:eastAsia="pl-PL"/>
        </w:rPr>
        <w:t>eślony dla dotacji w wysokości 1</w:t>
      </w:r>
      <w:r w:rsidR="00205287" w:rsidRPr="0039474D">
        <w:rPr>
          <w:rFonts w:ascii="Times New Roman" w:eastAsia="Times New Roman" w:hAnsi="Times New Roman" w:cs="Times New Roman"/>
          <w:spacing w:val="-2"/>
          <w:sz w:val="24"/>
          <w:szCs w:val="24"/>
          <w:lang w:eastAsia="pl-PL"/>
        </w:rPr>
        <w:t>30</w:t>
      </w:r>
      <w:r w:rsidR="0099556D" w:rsidRPr="0039474D">
        <w:rPr>
          <w:rFonts w:ascii="Times New Roman" w:eastAsia="Times New Roman" w:hAnsi="Times New Roman" w:cs="Times New Roman"/>
          <w:spacing w:val="-2"/>
          <w:sz w:val="24"/>
          <w:szCs w:val="24"/>
          <w:lang w:eastAsia="pl-PL"/>
        </w:rPr>
        <w:t xml:space="preserve"> punktów</w:t>
      </w:r>
      <w:r w:rsidR="0099556D" w:rsidRPr="0039474D">
        <w:rPr>
          <w:rFonts w:ascii="Times New Roman" w:eastAsia="Times New Roman" w:hAnsi="Times New Roman" w:cs="Times New Roman"/>
          <w:spacing w:val="-2"/>
          <w:sz w:val="24"/>
          <w:szCs w:val="24"/>
          <w:u w:val="single"/>
          <w:lang w:eastAsia="pl-PL"/>
        </w:rPr>
        <w:t xml:space="preserve"> </w:t>
      </w:r>
      <w:r w:rsidR="0099556D" w:rsidRPr="0039474D">
        <w:rPr>
          <w:rFonts w:ascii="Times New Roman" w:eastAsia="Times New Roman" w:hAnsi="Times New Roman" w:cs="Times New Roman"/>
          <w:spacing w:val="-2"/>
          <w:sz w:val="24"/>
          <w:szCs w:val="24"/>
          <w:lang w:eastAsia="pl-PL"/>
        </w:rPr>
        <w:t xml:space="preserve">bazowych. Z przeprowadzonych analiz wynika, że uruchomienie finansowania budownictwa społecznego w formie preferencyjnych kredytów wymagało będzie </w:t>
      </w:r>
      <w:r w:rsidR="00FD5672" w:rsidRPr="0039474D">
        <w:rPr>
          <w:rFonts w:ascii="Times New Roman" w:eastAsia="Times New Roman" w:hAnsi="Times New Roman" w:cs="Times New Roman"/>
          <w:spacing w:val="-2"/>
          <w:sz w:val="24"/>
          <w:szCs w:val="24"/>
          <w:lang w:eastAsia="pl-PL"/>
        </w:rPr>
        <w:t>zaangażowania środków budżetowych</w:t>
      </w:r>
      <w:r w:rsidR="0099556D" w:rsidRPr="0039474D">
        <w:rPr>
          <w:rFonts w:ascii="Times New Roman" w:eastAsia="Times New Roman" w:hAnsi="Times New Roman" w:cs="Times New Roman"/>
          <w:spacing w:val="-2"/>
          <w:sz w:val="24"/>
          <w:szCs w:val="24"/>
          <w:lang w:eastAsia="pl-PL"/>
        </w:rPr>
        <w:t xml:space="preserve"> w łącznej kwocie, uwzględniającej wszystkie </w:t>
      </w:r>
      <w:r w:rsidR="00F205E6" w:rsidRPr="0039474D">
        <w:rPr>
          <w:rFonts w:ascii="Times New Roman" w:eastAsia="Times New Roman" w:hAnsi="Times New Roman" w:cs="Times New Roman"/>
          <w:spacing w:val="-2"/>
          <w:sz w:val="24"/>
          <w:szCs w:val="24"/>
          <w:lang w:eastAsia="pl-PL"/>
        </w:rPr>
        <w:t>10</w:t>
      </w:r>
      <w:r w:rsidR="0099556D" w:rsidRPr="0039474D">
        <w:rPr>
          <w:rFonts w:ascii="Times New Roman" w:eastAsia="Times New Roman" w:hAnsi="Times New Roman" w:cs="Times New Roman"/>
          <w:spacing w:val="-2"/>
          <w:sz w:val="24"/>
          <w:szCs w:val="24"/>
          <w:lang w:eastAsia="pl-PL"/>
        </w:rPr>
        <w:t xml:space="preserve"> edycji programu, wynoszącej </w:t>
      </w:r>
      <w:r w:rsidR="00205287" w:rsidRPr="0039474D">
        <w:rPr>
          <w:rFonts w:ascii="Times New Roman" w:eastAsia="Times New Roman" w:hAnsi="Times New Roman" w:cs="Times New Roman"/>
          <w:spacing w:val="-2"/>
          <w:sz w:val="24"/>
          <w:szCs w:val="24"/>
          <w:lang w:eastAsia="pl-PL"/>
        </w:rPr>
        <w:t>751,9</w:t>
      </w:r>
      <w:r w:rsidR="005849CE">
        <w:rPr>
          <w:rFonts w:ascii="Times New Roman" w:eastAsia="Times New Roman" w:hAnsi="Times New Roman" w:cs="Times New Roman"/>
          <w:spacing w:val="-2"/>
          <w:sz w:val="24"/>
          <w:szCs w:val="24"/>
          <w:lang w:eastAsia="pl-PL"/>
        </w:rPr>
        <w:t xml:space="preserve"> </w:t>
      </w:r>
      <w:r w:rsidR="0099556D" w:rsidRPr="0039474D">
        <w:rPr>
          <w:rFonts w:ascii="Times New Roman" w:eastAsia="Times New Roman" w:hAnsi="Times New Roman" w:cs="Times New Roman"/>
          <w:spacing w:val="-2"/>
          <w:sz w:val="24"/>
          <w:szCs w:val="24"/>
          <w:lang w:eastAsia="pl-PL"/>
        </w:rPr>
        <w:t xml:space="preserve">mln zł. </w:t>
      </w:r>
    </w:p>
    <w:p w:rsidR="002247E9" w:rsidRPr="0039474D" w:rsidRDefault="002247E9" w:rsidP="0039474D">
      <w:pPr>
        <w:spacing w:before="120" w:after="0" w:line="360" w:lineRule="auto"/>
        <w:jc w:val="both"/>
        <w:rPr>
          <w:rFonts w:ascii="Times New Roman" w:eastAsia="Times New Roman" w:hAnsi="Times New Roman" w:cs="Times New Roman"/>
          <w:spacing w:val="-2"/>
          <w:sz w:val="24"/>
          <w:szCs w:val="24"/>
          <w:lang w:eastAsia="pl-PL"/>
        </w:rPr>
      </w:pPr>
    </w:p>
    <w:p w:rsidR="00AF2852" w:rsidRPr="002247E9" w:rsidRDefault="00A42074" w:rsidP="0039474D">
      <w:pPr>
        <w:tabs>
          <w:tab w:val="left" w:pos="142"/>
          <w:tab w:val="left" w:pos="426"/>
        </w:tabs>
        <w:spacing w:before="120" w:after="0" w:line="360" w:lineRule="auto"/>
        <w:ind w:left="426" w:hanging="426"/>
        <w:jc w:val="both"/>
        <w:rPr>
          <w:rFonts w:ascii="Times New Roman" w:eastAsia="Times New Roman" w:hAnsi="Times New Roman" w:cs="Times New Roman"/>
          <w:color w:val="000000" w:themeColor="text1"/>
          <w:sz w:val="24"/>
          <w:szCs w:val="24"/>
          <w:lang w:eastAsia="pl-PL"/>
        </w:rPr>
      </w:pPr>
      <w:r w:rsidRPr="002247E9">
        <w:rPr>
          <w:rFonts w:ascii="Times New Roman" w:eastAsia="Times New Roman" w:hAnsi="Times New Roman" w:cs="Times New Roman"/>
          <w:color w:val="000000" w:themeColor="text1"/>
          <w:sz w:val="24"/>
          <w:szCs w:val="24"/>
          <w:lang w:eastAsia="pl-PL"/>
        </w:rPr>
        <w:t>I</w:t>
      </w:r>
      <w:r w:rsidR="00B23A5A" w:rsidRPr="002247E9">
        <w:rPr>
          <w:rFonts w:ascii="Times New Roman" w:eastAsia="Times New Roman" w:hAnsi="Times New Roman" w:cs="Times New Roman"/>
          <w:color w:val="000000" w:themeColor="text1"/>
          <w:sz w:val="24"/>
          <w:szCs w:val="24"/>
          <w:lang w:eastAsia="pl-PL"/>
        </w:rPr>
        <w:t>V</w:t>
      </w:r>
      <w:r w:rsidR="00AF2852" w:rsidRPr="002247E9">
        <w:rPr>
          <w:rFonts w:ascii="Times New Roman" w:eastAsia="Times New Roman" w:hAnsi="Times New Roman" w:cs="Times New Roman"/>
          <w:color w:val="000000" w:themeColor="text1"/>
          <w:sz w:val="24"/>
          <w:szCs w:val="24"/>
          <w:lang w:eastAsia="pl-PL"/>
        </w:rPr>
        <w:t>.</w:t>
      </w:r>
      <w:r w:rsidR="00AF2852" w:rsidRPr="002247E9">
        <w:rPr>
          <w:rFonts w:ascii="Times New Roman" w:eastAsia="Times New Roman" w:hAnsi="Times New Roman" w:cs="Times New Roman"/>
          <w:color w:val="000000" w:themeColor="text1"/>
          <w:sz w:val="24"/>
          <w:szCs w:val="24"/>
          <w:lang w:eastAsia="pl-PL"/>
        </w:rPr>
        <w:tab/>
        <w:t>ROZWIĄZANIA SZCZEGÓŁOWE PROJEKTU USTAWY</w:t>
      </w:r>
    </w:p>
    <w:p w:rsidR="00CA49D7" w:rsidRPr="0039474D" w:rsidRDefault="001C2951"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Z uwagi na fakt, że proponuje się rozszerzenie instrumentów wsparcia na cele mieszkaniowe o emisję obligacji</w:t>
      </w:r>
      <w:r w:rsidR="00A379FF"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zmianie ulegnie brzmienie art. 1 ustawy oraz tytuł rozdziału 2a ustawy, który otrzyma brzmienie: Finansowanie przez Bank Gospodarstwa Krajowego przedsięwzięć inwestycyjno-budowlanych w ramach realizacji rządowego programu popierania budownictwa mieszkaniowego. Wiąże się z tym także konieczna korekta treści </w:t>
      </w:r>
      <w:r w:rsidRPr="0039474D">
        <w:rPr>
          <w:rFonts w:ascii="Times New Roman" w:eastAsia="Times New Roman" w:hAnsi="Times New Roman" w:cs="Times New Roman"/>
          <w:b/>
          <w:sz w:val="24"/>
          <w:szCs w:val="24"/>
          <w:lang w:eastAsia="pl-PL"/>
        </w:rPr>
        <w:t>art.</w:t>
      </w:r>
      <w:r w:rsidR="00F749A5">
        <w:rPr>
          <w:rFonts w:ascii="Times New Roman" w:eastAsia="Times New Roman" w:hAnsi="Times New Roman" w:cs="Times New Roman"/>
          <w:b/>
          <w:sz w:val="24"/>
          <w:szCs w:val="24"/>
          <w:lang w:eastAsia="pl-PL"/>
        </w:rPr>
        <w:t xml:space="preserve"> </w:t>
      </w:r>
      <w:r w:rsidRPr="0039474D">
        <w:rPr>
          <w:rFonts w:ascii="Times New Roman" w:eastAsia="Times New Roman" w:hAnsi="Times New Roman" w:cs="Times New Roman"/>
          <w:b/>
          <w:sz w:val="24"/>
          <w:szCs w:val="24"/>
          <w:lang w:eastAsia="pl-PL"/>
        </w:rPr>
        <w:t>15a ust.</w:t>
      </w:r>
      <w:r w:rsidR="00F5508D">
        <w:rPr>
          <w:rFonts w:ascii="Times New Roman" w:eastAsia="Times New Roman" w:hAnsi="Times New Roman" w:cs="Times New Roman"/>
          <w:b/>
          <w:sz w:val="24"/>
          <w:szCs w:val="24"/>
          <w:lang w:eastAsia="pl-PL"/>
        </w:rPr>
        <w:t> </w:t>
      </w:r>
      <w:r w:rsidRPr="0039474D">
        <w:rPr>
          <w:rFonts w:ascii="Times New Roman" w:eastAsia="Times New Roman" w:hAnsi="Times New Roman" w:cs="Times New Roman"/>
          <w:b/>
          <w:sz w:val="24"/>
          <w:szCs w:val="24"/>
          <w:lang w:eastAsia="pl-PL"/>
        </w:rPr>
        <w:t>1</w:t>
      </w:r>
      <w:r w:rsidRPr="0039474D">
        <w:rPr>
          <w:rFonts w:ascii="Times New Roman" w:eastAsia="Times New Roman" w:hAnsi="Times New Roman" w:cs="Times New Roman"/>
          <w:sz w:val="24"/>
          <w:szCs w:val="24"/>
          <w:lang w:eastAsia="pl-PL"/>
        </w:rPr>
        <w:t>, w którym określa się, że Bank Gospodarstwa Krajowego będzie udzielać kredytów oraz</w:t>
      </w:r>
      <w:r w:rsidR="00B32354" w:rsidRPr="0039474D">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organizować emisję obligacji i gwarantować ich nabycie w ramach realizacji rządowego programu popierania budownictwa mieszkaniowego.</w:t>
      </w:r>
      <w:r w:rsidR="00F749A5">
        <w:rPr>
          <w:rFonts w:ascii="Times New Roman" w:eastAsia="Times New Roman" w:hAnsi="Times New Roman" w:cs="Times New Roman"/>
          <w:sz w:val="24"/>
          <w:szCs w:val="24"/>
          <w:lang w:eastAsia="pl-PL"/>
        </w:rPr>
        <w:t xml:space="preserve"> </w:t>
      </w:r>
    </w:p>
    <w:p w:rsidR="00E75557" w:rsidRPr="0039474D" w:rsidRDefault="00440D6A"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Zmiany w</w:t>
      </w:r>
      <w:r w:rsidR="00E75557" w:rsidRPr="0039474D">
        <w:rPr>
          <w:rFonts w:ascii="Times New Roman" w:eastAsia="Times New Roman" w:hAnsi="Times New Roman" w:cs="Times New Roman"/>
          <w:spacing w:val="4"/>
          <w:sz w:val="24"/>
          <w:szCs w:val="24"/>
          <w:lang w:eastAsia="pl-PL"/>
        </w:rPr>
        <w:t xml:space="preserve"> </w:t>
      </w:r>
      <w:r w:rsidR="00E75557" w:rsidRPr="0039474D">
        <w:rPr>
          <w:rFonts w:ascii="Times New Roman" w:eastAsia="Times New Roman" w:hAnsi="Times New Roman" w:cs="Times New Roman"/>
          <w:b/>
          <w:spacing w:val="4"/>
          <w:sz w:val="24"/>
          <w:szCs w:val="24"/>
          <w:lang w:eastAsia="pl-PL"/>
        </w:rPr>
        <w:t xml:space="preserve">art. 15a ust. 2 </w:t>
      </w:r>
      <w:r w:rsidRPr="0039474D">
        <w:rPr>
          <w:rFonts w:ascii="Times New Roman" w:eastAsia="Times New Roman" w:hAnsi="Times New Roman" w:cs="Times New Roman"/>
          <w:spacing w:val="4"/>
          <w:sz w:val="24"/>
          <w:szCs w:val="24"/>
          <w:lang w:eastAsia="pl-PL"/>
        </w:rPr>
        <w:t>związane są</w:t>
      </w:r>
      <w:r w:rsidRPr="0039474D">
        <w:rPr>
          <w:rFonts w:ascii="Times New Roman" w:eastAsia="Times New Roman" w:hAnsi="Times New Roman" w:cs="Times New Roman"/>
          <w:b/>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z proponowanym poszerzeniem </w:t>
      </w:r>
      <w:r w:rsidR="00E75557" w:rsidRPr="0039474D">
        <w:rPr>
          <w:rFonts w:ascii="Times New Roman" w:eastAsia="Times New Roman" w:hAnsi="Times New Roman" w:cs="Times New Roman"/>
          <w:spacing w:val="4"/>
          <w:sz w:val="24"/>
          <w:szCs w:val="24"/>
          <w:lang w:eastAsia="pl-PL"/>
        </w:rPr>
        <w:t>kategorii p</w:t>
      </w:r>
      <w:r w:rsidR="008F5269" w:rsidRPr="0039474D">
        <w:rPr>
          <w:rFonts w:ascii="Times New Roman" w:eastAsia="Times New Roman" w:hAnsi="Times New Roman" w:cs="Times New Roman"/>
          <w:spacing w:val="4"/>
          <w:sz w:val="24"/>
          <w:szCs w:val="24"/>
          <w:lang w:eastAsia="pl-PL"/>
        </w:rPr>
        <w:t xml:space="preserve">odmiotów mogących </w:t>
      </w:r>
      <w:r w:rsidRPr="0039474D">
        <w:rPr>
          <w:rFonts w:ascii="Times New Roman" w:eastAsia="Times New Roman" w:hAnsi="Times New Roman" w:cs="Times New Roman"/>
          <w:spacing w:val="4"/>
          <w:sz w:val="24"/>
          <w:szCs w:val="24"/>
          <w:lang w:eastAsia="pl-PL"/>
        </w:rPr>
        <w:t>korzystać</w:t>
      </w:r>
      <w:r w:rsidR="008F5269" w:rsidRPr="0039474D">
        <w:rPr>
          <w:rFonts w:ascii="Times New Roman" w:eastAsia="Times New Roman" w:hAnsi="Times New Roman" w:cs="Times New Roman"/>
          <w:spacing w:val="4"/>
          <w:sz w:val="24"/>
          <w:szCs w:val="24"/>
          <w:lang w:eastAsia="pl-PL"/>
        </w:rPr>
        <w:t xml:space="preserve"> na</w:t>
      </w:r>
      <w:r w:rsidR="00F749A5">
        <w:rPr>
          <w:rFonts w:ascii="Times New Roman" w:eastAsia="Times New Roman" w:hAnsi="Times New Roman" w:cs="Times New Roman"/>
          <w:spacing w:val="4"/>
          <w:sz w:val="24"/>
          <w:szCs w:val="24"/>
          <w:lang w:eastAsia="pl-PL"/>
        </w:rPr>
        <w:t xml:space="preserve"> </w:t>
      </w:r>
      <w:r w:rsidR="00E75557" w:rsidRPr="0039474D">
        <w:rPr>
          <w:rFonts w:ascii="Times New Roman" w:eastAsia="Times New Roman" w:hAnsi="Times New Roman" w:cs="Times New Roman"/>
          <w:spacing w:val="4"/>
          <w:sz w:val="24"/>
          <w:szCs w:val="24"/>
          <w:lang w:eastAsia="pl-PL"/>
        </w:rPr>
        <w:t xml:space="preserve">zasadach preferencyjnych </w:t>
      </w:r>
      <w:r w:rsidRPr="0039474D">
        <w:rPr>
          <w:rFonts w:ascii="Times New Roman" w:eastAsia="Times New Roman" w:hAnsi="Times New Roman" w:cs="Times New Roman"/>
          <w:spacing w:val="4"/>
          <w:sz w:val="24"/>
          <w:szCs w:val="24"/>
          <w:lang w:eastAsia="pl-PL"/>
        </w:rPr>
        <w:t xml:space="preserve">z finansowania </w:t>
      </w:r>
      <w:r w:rsidR="00775F2A" w:rsidRPr="0039474D">
        <w:rPr>
          <w:rFonts w:ascii="Times New Roman" w:eastAsia="Times New Roman" w:hAnsi="Times New Roman" w:cs="Times New Roman"/>
          <w:spacing w:val="4"/>
          <w:sz w:val="24"/>
          <w:szCs w:val="24"/>
          <w:lang w:eastAsia="pl-PL"/>
        </w:rPr>
        <w:t xml:space="preserve">zwrotnego </w:t>
      </w:r>
      <w:r w:rsidRPr="0039474D">
        <w:rPr>
          <w:rFonts w:ascii="Times New Roman" w:eastAsia="Times New Roman" w:hAnsi="Times New Roman" w:cs="Times New Roman"/>
          <w:spacing w:val="4"/>
          <w:sz w:val="24"/>
          <w:szCs w:val="24"/>
          <w:lang w:eastAsia="pl-PL"/>
        </w:rPr>
        <w:t xml:space="preserve">organizowanego przez BGK </w:t>
      </w:r>
      <w:r w:rsidR="00E75557" w:rsidRPr="0039474D">
        <w:rPr>
          <w:rFonts w:ascii="Times New Roman" w:eastAsia="Times New Roman" w:hAnsi="Times New Roman" w:cs="Times New Roman"/>
          <w:spacing w:val="4"/>
          <w:sz w:val="24"/>
          <w:szCs w:val="24"/>
          <w:lang w:eastAsia="pl-PL"/>
        </w:rPr>
        <w:t>na realizację przedsi</w:t>
      </w:r>
      <w:r w:rsidR="00BA0360" w:rsidRPr="0039474D">
        <w:rPr>
          <w:rFonts w:ascii="Times New Roman" w:eastAsia="Times New Roman" w:hAnsi="Times New Roman" w:cs="Times New Roman"/>
          <w:spacing w:val="4"/>
          <w:sz w:val="24"/>
          <w:szCs w:val="24"/>
          <w:lang w:eastAsia="pl-PL"/>
        </w:rPr>
        <w:t>ęwzięć inwestycyjno-budowlanych</w:t>
      </w:r>
      <w:r w:rsidR="00E75557" w:rsidRPr="0039474D">
        <w:rPr>
          <w:rFonts w:ascii="Times New Roman" w:eastAsia="Times New Roman" w:hAnsi="Times New Roman" w:cs="Times New Roman"/>
          <w:spacing w:val="4"/>
          <w:sz w:val="24"/>
          <w:szCs w:val="24"/>
          <w:lang w:eastAsia="pl-PL"/>
        </w:rPr>
        <w:t>. Proponuje się</w:t>
      </w:r>
      <w:r w:rsidR="00A379FF" w:rsidRPr="0039474D">
        <w:rPr>
          <w:rFonts w:ascii="Times New Roman" w:eastAsia="Times New Roman" w:hAnsi="Times New Roman" w:cs="Times New Roman"/>
          <w:spacing w:val="4"/>
          <w:sz w:val="24"/>
          <w:szCs w:val="24"/>
          <w:lang w:eastAsia="pl-PL"/>
        </w:rPr>
        <w:t>,</w:t>
      </w:r>
      <w:r w:rsidR="00E75557" w:rsidRPr="0039474D">
        <w:rPr>
          <w:rFonts w:ascii="Times New Roman" w:eastAsia="Times New Roman" w:hAnsi="Times New Roman" w:cs="Times New Roman"/>
          <w:spacing w:val="4"/>
          <w:sz w:val="24"/>
          <w:szCs w:val="24"/>
          <w:lang w:eastAsia="pl-PL"/>
        </w:rPr>
        <w:t xml:space="preserve"> aby oprócz </w:t>
      </w:r>
      <w:r w:rsidR="00D06F6F" w:rsidRPr="0039474D">
        <w:rPr>
          <w:rFonts w:ascii="Times New Roman" w:eastAsia="Times New Roman" w:hAnsi="Times New Roman" w:cs="Times New Roman"/>
          <w:spacing w:val="4"/>
          <w:sz w:val="24"/>
          <w:szCs w:val="24"/>
          <w:lang w:eastAsia="pl-PL"/>
        </w:rPr>
        <w:t>TBS</w:t>
      </w:r>
      <w:r w:rsidR="00C73610" w:rsidRPr="0039474D">
        <w:rPr>
          <w:rFonts w:ascii="Times New Roman" w:eastAsia="Times New Roman" w:hAnsi="Times New Roman" w:cs="Times New Roman"/>
          <w:spacing w:val="4"/>
          <w:sz w:val="24"/>
          <w:szCs w:val="24"/>
          <w:lang w:eastAsia="pl-PL"/>
        </w:rPr>
        <w:t>-ów</w:t>
      </w:r>
      <w:r w:rsidR="0092777B" w:rsidRPr="0039474D">
        <w:rPr>
          <w:rFonts w:ascii="Times New Roman" w:eastAsia="Times New Roman" w:hAnsi="Times New Roman" w:cs="Times New Roman"/>
          <w:spacing w:val="4"/>
          <w:sz w:val="24"/>
          <w:szCs w:val="24"/>
          <w:lang w:eastAsia="pl-PL"/>
        </w:rPr>
        <w:t xml:space="preserve"> (spełni</w:t>
      </w:r>
      <w:r w:rsidR="00292440" w:rsidRPr="0039474D">
        <w:rPr>
          <w:rFonts w:ascii="Times New Roman" w:eastAsia="Times New Roman" w:hAnsi="Times New Roman" w:cs="Times New Roman"/>
          <w:spacing w:val="4"/>
          <w:sz w:val="24"/>
          <w:szCs w:val="24"/>
          <w:lang w:eastAsia="pl-PL"/>
        </w:rPr>
        <w:t>ających</w:t>
      </w:r>
      <w:r w:rsidR="0092777B" w:rsidRPr="0039474D">
        <w:rPr>
          <w:rFonts w:ascii="Times New Roman" w:eastAsia="Times New Roman" w:hAnsi="Times New Roman" w:cs="Times New Roman"/>
          <w:spacing w:val="4"/>
          <w:sz w:val="24"/>
          <w:szCs w:val="24"/>
          <w:lang w:eastAsia="pl-PL"/>
        </w:rPr>
        <w:t xml:space="preserve"> warunek nieprzeznaczania dochodów na inną niż </w:t>
      </w:r>
      <w:r w:rsidR="009E6454" w:rsidRPr="0039474D">
        <w:rPr>
          <w:rFonts w:ascii="Times New Roman" w:eastAsia="Times New Roman" w:hAnsi="Times New Roman" w:cs="Times New Roman"/>
          <w:spacing w:val="4"/>
          <w:sz w:val="24"/>
          <w:szCs w:val="24"/>
          <w:lang w:eastAsia="pl-PL"/>
        </w:rPr>
        <w:t xml:space="preserve">statutowa </w:t>
      </w:r>
      <w:r w:rsidR="00292440" w:rsidRPr="0039474D">
        <w:rPr>
          <w:rFonts w:ascii="Times New Roman" w:eastAsia="Times New Roman" w:hAnsi="Times New Roman" w:cs="Times New Roman"/>
          <w:spacing w:val="4"/>
          <w:sz w:val="24"/>
          <w:szCs w:val="24"/>
          <w:lang w:eastAsia="pl-PL"/>
        </w:rPr>
        <w:t>działalność – art. 24 ust. 2)</w:t>
      </w:r>
      <w:r w:rsidR="00E75557" w:rsidRPr="0039474D">
        <w:rPr>
          <w:rFonts w:ascii="Times New Roman" w:eastAsia="Times New Roman" w:hAnsi="Times New Roman" w:cs="Times New Roman"/>
          <w:spacing w:val="4"/>
          <w:sz w:val="24"/>
          <w:szCs w:val="24"/>
          <w:lang w:eastAsia="pl-PL"/>
        </w:rPr>
        <w:t xml:space="preserve"> i spółdzielni mieszkaniowych</w:t>
      </w:r>
      <w:r w:rsidR="008F5269" w:rsidRPr="0039474D">
        <w:rPr>
          <w:rFonts w:ascii="Times New Roman" w:eastAsia="Times New Roman" w:hAnsi="Times New Roman" w:cs="Times New Roman"/>
          <w:spacing w:val="4"/>
          <w:sz w:val="24"/>
          <w:szCs w:val="24"/>
          <w:lang w:eastAsia="pl-PL"/>
        </w:rPr>
        <w:t>,</w:t>
      </w:r>
      <w:r w:rsidR="00E75557" w:rsidRPr="0039474D">
        <w:rPr>
          <w:rFonts w:ascii="Times New Roman" w:eastAsia="Times New Roman" w:hAnsi="Times New Roman" w:cs="Times New Roman"/>
          <w:spacing w:val="4"/>
          <w:sz w:val="24"/>
          <w:szCs w:val="24"/>
          <w:lang w:eastAsia="pl-PL"/>
        </w:rPr>
        <w:t xml:space="preserve"> kredyty mogły by</w:t>
      </w:r>
      <w:r w:rsidR="008F5269" w:rsidRPr="0039474D">
        <w:rPr>
          <w:rFonts w:ascii="Times New Roman" w:eastAsia="Times New Roman" w:hAnsi="Times New Roman" w:cs="Times New Roman"/>
          <w:spacing w:val="4"/>
          <w:sz w:val="24"/>
          <w:szCs w:val="24"/>
          <w:lang w:eastAsia="pl-PL"/>
        </w:rPr>
        <w:t>ć przyznawane również spółkom z</w:t>
      </w:r>
      <w:r w:rsidR="00F749A5">
        <w:rPr>
          <w:rFonts w:ascii="Times New Roman" w:eastAsia="Times New Roman" w:hAnsi="Times New Roman" w:cs="Times New Roman"/>
          <w:spacing w:val="4"/>
          <w:sz w:val="24"/>
          <w:szCs w:val="24"/>
          <w:lang w:eastAsia="pl-PL"/>
        </w:rPr>
        <w:t xml:space="preserve"> </w:t>
      </w:r>
      <w:r w:rsidR="00E75557" w:rsidRPr="0039474D">
        <w:rPr>
          <w:rFonts w:ascii="Times New Roman" w:eastAsia="Times New Roman" w:hAnsi="Times New Roman" w:cs="Times New Roman"/>
          <w:spacing w:val="4"/>
          <w:sz w:val="24"/>
          <w:szCs w:val="24"/>
          <w:lang w:eastAsia="pl-PL"/>
        </w:rPr>
        <w:t>ograniczoną odpowiedzialnością lub spółkom akcyjnym,</w:t>
      </w:r>
      <w:r w:rsidR="00D06F6F" w:rsidRPr="0039474D">
        <w:rPr>
          <w:rFonts w:ascii="Times New Roman" w:eastAsia="Times New Roman" w:hAnsi="Times New Roman" w:cs="Times New Roman"/>
          <w:spacing w:val="4"/>
          <w:sz w:val="24"/>
          <w:szCs w:val="24"/>
          <w:lang w:eastAsia="pl-PL"/>
        </w:rPr>
        <w:t xml:space="preserve"> </w:t>
      </w:r>
      <w:r w:rsidR="00E75557" w:rsidRPr="0039474D">
        <w:rPr>
          <w:rFonts w:ascii="Times New Roman" w:eastAsia="Times New Roman" w:hAnsi="Times New Roman" w:cs="Times New Roman"/>
          <w:spacing w:val="4"/>
          <w:sz w:val="24"/>
          <w:szCs w:val="24"/>
          <w:lang w:eastAsia="pl-PL"/>
        </w:rPr>
        <w:t xml:space="preserve">w których gmina lub gminy dysponują odpowiednio ponad 50% głosów na zgromadzeniu wspólników lub na walnym zgromadzeniu, niedziałającym w formie </w:t>
      </w:r>
      <w:r w:rsidR="00D06F6F" w:rsidRPr="0039474D">
        <w:rPr>
          <w:rFonts w:ascii="Times New Roman" w:eastAsia="Times New Roman" w:hAnsi="Times New Roman" w:cs="Times New Roman"/>
          <w:spacing w:val="4"/>
          <w:sz w:val="24"/>
          <w:szCs w:val="24"/>
          <w:lang w:eastAsia="pl-PL"/>
        </w:rPr>
        <w:t>TBS</w:t>
      </w:r>
      <w:r w:rsidR="00E75557" w:rsidRPr="0039474D">
        <w:rPr>
          <w:rFonts w:ascii="Times New Roman" w:eastAsia="Times New Roman" w:hAnsi="Times New Roman" w:cs="Times New Roman"/>
          <w:spacing w:val="4"/>
          <w:sz w:val="24"/>
          <w:szCs w:val="24"/>
          <w:lang w:eastAsia="pl-PL"/>
        </w:rPr>
        <w:t>, zwanym dalej „spółkami gminnymi</w:t>
      </w:r>
      <w:r w:rsidR="00172593" w:rsidRPr="0039474D">
        <w:rPr>
          <w:rFonts w:ascii="Times New Roman" w:eastAsia="Times New Roman" w:hAnsi="Times New Roman" w:cs="Times New Roman"/>
          <w:spacing w:val="4"/>
          <w:sz w:val="24"/>
          <w:szCs w:val="24"/>
          <w:lang w:eastAsia="pl-PL"/>
        </w:rPr>
        <w:t>”</w:t>
      </w:r>
      <w:r w:rsidR="00703BE2" w:rsidRPr="0039474D">
        <w:rPr>
          <w:rFonts w:ascii="Times New Roman" w:eastAsia="Times New Roman" w:hAnsi="Times New Roman" w:cs="Times New Roman"/>
          <w:spacing w:val="4"/>
          <w:sz w:val="24"/>
          <w:szCs w:val="24"/>
          <w:lang w:eastAsia="pl-PL"/>
        </w:rPr>
        <w:t>.</w:t>
      </w:r>
    </w:p>
    <w:p w:rsidR="000B2817" w:rsidRPr="0039474D" w:rsidRDefault="00FD5672"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Rozwiązanie to pozwoli na uwzględnienie szerszej grupy podmiotów mogących realizować przedsięwzięcia inwestycyjno-budowlane w ramach rządowego programu </w:t>
      </w:r>
      <w:r w:rsidR="00B438D9" w:rsidRPr="0039474D">
        <w:rPr>
          <w:rFonts w:ascii="Times New Roman" w:eastAsia="Times New Roman" w:hAnsi="Times New Roman" w:cs="Times New Roman"/>
          <w:sz w:val="24"/>
          <w:szCs w:val="24"/>
          <w:lang w:eastAsia="pl-PL"/>
        </w:rPr>
        <w:t xml:space="preserve">popierania </w:t>
      </w:r>
      <w:r w:rsidRPr="0039474D">
        <w:rPr>
          <w:rFonts w:ascii="Times New Roman" w:eastAsia="Times New Roman" w:hAnsi="Times New Roman" w:cs="Times New Roman"/>
          <w:sz w:val="24"/>
          <w:szCs w:val="24"/>
          <w:lang w:eastAsia="pl-PL"/>
        </w:rPr>
        <w:t xml:space="preserve">budownictwa mieszkaniowego. Zgodnie z założeniami programu, o udziale w programie decydować powinno stosowanie jednolitych zasad i warunków najmu, a nie forma organizacyjna podmiotu realizującego program. Ponadto rozszerzenie grupy podmiotów </w:t>
      </w:r>
      <w:r w:rsidRPr="0039474D">
        <w:rPr>
          <w:rFonts w:ascii="Times New Roman" w:eastAsia="Times New Roman" w:hAnsi="Times New Roman" w:cs="Times New Roman"/>
          <w:sz w:val="24"/>
          <w:szCs w:val="24"/>
          <w:lang w:eastAsia="pl-PL"/>
        </w:rPr>
        <w:lastRenderedPageBreak/>
        <w:t>mogących realizować program o spółki gminne wynika z faktu powiązania przedsięwzięcia realizowa</w:t>
      </w:r>
      <w:r w:rsidR="0047613D" w:rsidRPr="0039474D">
        <w:rPr>
          <w:rFonts w:ascii="Times New Roman" w:eastAsia="Times New Roman" w:hAnsi="Times New Roman" w:cs="Times New Roman"/>
          <w:sz w:val="24"/>
          <w:szCs w:val="24"/>
          <w:lang w:eastAsia="pl-PL"/>
        </w:rPr>
        <w:t>nego w ramach programu z lokalną</w:t>
      </w:r>
      <w:r w:rsidR="00BF4256" w:rsidRPr="0039474D">
        <w:rPr>
          <w:rFonts w:ascii="Times New Roman" w:eastAsia="Times New Roman" w:hAnsi="Times New Roman" w:cs="Times New Roman"/>
          <w:sz w:val="24"/>
          <w:szCs w:val="24"/>
          <w:lang w:eastAsia="pl-PL"/>
        </w:rPr>
        <w:t xml:space="preserve"> polityką</w:t>
      </w:r>
      <w:r w:rsidRPr="0039474D">
        <w:rPr>
          <w:rFonts w:ascii="Times New Roman" w:eastAsia="Times New Roman" w:hAnsi="Times New Roman" w:cs="Times New Roman"/>
          <w:sz w:val="24"/>
          <w:szCs w:val="24"/>
          <w:lang w:eastAsia="pl-PL"/>
        </w:rPr>
        <w:t xml:space="preserve"> mieszkaniową. </w:t>
      </w:r>
    </w:p>
    <w:p w:rsidR="00E75557" w:rsidRPr="0039474D" w:rsidRDefault="00BA0360"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pacing w:val="4"/>
          <w:sz w:val="24"/>
          <w:szCs w:val="24"/>
          <w:lang w:eastAsia="pl-PL"/>
        </w:rPr>
        <w:t>Konsekwentnie do przyjętego powyżej założenia w</w:t>
      </w:r>
      <w:r w:rsidR="00E75557" w:rsidRPr="0039474D">
        <w:rPr>
          <w:rFonts w:ascii="Times New Roman" w:eastAsia="Times New Roman" w:hAnsi="Times New Roman" w:cs="Times New Roman"/>
          <w:spacing w:val="4"/>
          <w:sz w:val="24"/>
          <w:szCs w:val="24"/>
          <w:lang w:eastAsia="pl-PL"/>
        </w:rPr>
        <w:t xml:space="preserve"> </w:t>
      </w:r>
      <w:r w:rsidR="00E75557" w:rsidRPr="0039474D">
        <w:rPr>
          <w:rFonts w:ascii="Times New Roman" w:eastAsia="Times New Roman" w:hAnsi="Times New Roman" w:cs="Times New Roman"/>
          <w:b/>
          <w:spacing w:val="4"/>
          <w:sz w:val="24"/>
          <w:szCs w:val="24"/>
          <w:lang w:eastAsia="pl-PL"/>
        </w:rPr>
        <w:t xml:space="preserve">art. 15a ust. </w:t>
      </w:r>
      <w:r w:rsidR="00216295" w:rsidRPr="0039474D">
        <w:rPr>
          <w:rFonts w:ascii="Times New Roman" w:eastAsia="Times New Roman" w:hAnsi="Times New Roman" w:cs="Times New Roman"/>
          <w:b/>
          <w:spacing w:val="4"/>
          <w:sz w:val="24"/>
          <w:szCs w:val="24"/>
          <w:lang w:eastAsia="pl-PL"/>
        </w:rPr>
        <w:t>4</w:t>
      </w:r>
      <w:r w:rsidR="00E75557" w:rsidRPr="0039474D">
        <w:rPr>
          <w:rFonts w:ascii="Times New Roman" w:eastAsia="Times New Roman" w:hAnsi="Times New Roman" w:cs="Times New Roman"/>
          <w:spacing w:val="4"/>
          <w:sz w:val="24"/>
          <w:szCs w:val="24"/>
          <w:lang w:eastAsia="pl-PL"/>
        </w:rPr>
        <w:t xml:space="preserve"> dodano spółki gminne, które korzystając z </w:t>
      </w:r>
      <w:r w:rsidRPr="0039474D">
        <w:rPr>
          <w:rFonts w:ascii="Times New Roman" w:eastAsia="Times New Roman" w:hAnsi="Times New Roman" w:cs="Times New Roman"/>
          <w:spacing w:val="4"/>
          <w:sz w:val="24"/>
          <w:szCs w:val="24"/>
          <w:lang w:eastAsia="pl-PL"/>
        </w:rPr>
        <w:t xml:space="preserve">finansowania </w:t>
      </w:r>
      <w:r w:rsidR="00E75557" w:rsidRPr="0039474D">
        <w:rPr>
          <w:rFonts w:ascii="Times New Roman" w:eastAsia="Times New Roman" w:hAnsi="Times New Roman" w:cs="Times New Roman"/>
          <w:spacing w:val="4"/>
          <w:sz w:val="24"/>
          <w:szCs w:val="24"/>
          <w:lang w:eastAsia="pl-PL"/>
        </w:rPr>
        <w:t xml:space="preserve">w ramach programu rządowego popierania budownictwa </w:t>
      </w:r>
      <w:r w:rsidR="00E75557" w:rsidRPr="0039474D">
        <w:rPr>
          <w:rFonts w:ascii="Times New Roman" w:eastAsia="Times New Roman" w:hAnsi="Times New Roman" w:cs="Times New Roman"/>
          <w:sz w:val="24"/>
          <w:szCs w:val="24"/>
          <w:lang w:eastAsia="pl-PL"/>
        </w:rPr>
        <w:t>mieszkaniowego</w:t>
      </w:r>
      <w:r w:rsidR="005849CE">
        <w:rPr>
          <w:rFonts w:ascii="Times New Roman" w:eastAsia="Times New Roman" w:hAnsi="Times New Roman" w:cs="Times New Roman"/>
          <w:sz w:val="24"/>
          <w:szCs w:val="24"/>
          <w:lang w:eastAsia="pl-PL"/>
        </w:rPr>
        <w:t>,</w:t>
      </w:r>
      <w:r w:rsidR="00E75557" w:rsidRPr="0039474D">
        <w:rPr>
          <w:rFonts w:ascii="Times New Roman" w:eastAsia="Times New Roman" w:hAnsi="Times New Roman" w:cs="Times New Roman"/>
          <w:sz w:val="24"/>
          <w:szCs w:val="24"/>
          <w:lang w:eastAsia="pl-PL"/>
        </w:rPr>
        <w:t xml:space="preserve"> będą obowiązane stosować prawo zamówień publicznych. </w:t>
      </w:r>
    </w:p>
    <w:p w:rsidR="007F4D3A" w:rsidRPr="0039474D" w:rsidRDefault="007F4D3A"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W </w:t>
      </w:r>
      <w:r w:rsidRPr="0039474D">
        <w:rPr>
          <w:rFonts w:ascii="Times New Roman" w:eastAsia="Times New Roman" w:hAnsi="Times New Roman" w:cs="Times New Roman"/>
          <w:b/>
          <w:sz w:val="24"/>
          <w:szCs w:val="24"/>
          <w:lang w:eastAsia="pl-PL"/>
        </w:rPr>
        <w:t>art. 15a ust. 3</w:t>
      </w:r>
      <w:r w:rsidRPr="0039474D">
        <w:rPr>
          <w:rFonts w:ascii="Times New Roman" w:eastAsia="Times New Roman" w:hAnsi="Times New Roman" w:cs="Times New Roman"/>
          <w:sz w:val="24"/>
          <w:szCs w:val="24"/>
          <w:lang w:eastAsia="pl-PL"/>
        </w:rPr>
        <w:t xml:space="preserve"> wskazano warunek konieczny udzielenia finansowania zwrotnego, jakim jest zawarcie przez towarzystwo budownictwa społecznego, spółdzielnię mieszkaniową lub spółkę gminną, a więc kredytobiorców, umowy z gminą właściwą miejscowo dla planowanego przedsięwzięcia inwestycyjno-budowlanego.</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Umowa taka powinna określać, jakie będą planowane formy uczestnictwa finansowego gminy w kosztach realizacji danego przedsięwzięcia inwestycyjno-budowlanego. Ponadto w treści umowy powinien znaleźć się zapis mówiący o planowanej liczbie lokali mieszkalnych, gdzie najemcami będą osoby wskazane przez gminę. Zakłada się, że potencjalnymi najemcami będą również aktualni najemcy lokali mieszkalnych wchodzących w skład mieszkaniowego zasobu gminy. Elementem składowym umowy powinno być również zobowiązanie kredytobiorcy lub gminy wskazujące minimalną liczbę lokali mieszkalnych utworzonych w wyniku realizacji przedsięwzięcia inwestycyjno-budowlanego, których najemcami będą osoby wychowujące przynajmniej jedno własne lub przysposobione dziecko, o którym mowa w art. 7 ust. 2 </w:t>
      </w:r>
      <w:r w:rsidR="00F5508D">
        <w:rPr>
          <w:rFonts w:ascii="Times New Roman" w:eastAsia="Times New Roman" w:hAnsi="Times New Roman" w:cs="Times New Roman"/>
          <w:sz w:val="24"/>
          <w:szCs w:val="24"/>
          <w:lang w:eastAsia="pl-PL"/>
        </w:rPr>
        <w:br/>
      </w:r>
      <w:r w:rsidRPr="0039474D">
        <w:rPr>
          <w:rFonts w:ascii="Times New Roman" w:eastAsia="Times New Roman" w:hAnsi="Times New Roman" w:cs="Times New Roman"/>
          <w:sz w:val="24"/>
          <w:szCs w:val="24"/>
          <w:lang w:eastAsia="pl-PL"/>
        </w:rPr>
        <w:t>pkt 1</w:t>
      </w:r>
      <w:r w:rsidR="00F5508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3 ustawy z dnia 27 września 2013 r. o pomocy państwa w nabyciu własnego mieszkania przez ludzi młodych (Dz. U. </w:t>
      </w:r>
      <w:r w:rsidR="00B379CD">
        <w:rPr>
          <w:rFonts w:ascii="Times New Roman" w:eastAsia="Times New Roman" w:hAnsi="Times New Roman" w:cs="Times New Roman"/>
          <w:sz w:val="24"/>
          <w:szCs w:val="24"/>
          <w:lang w:eastAsia="pl-PL"/>
        </w:rPr>
        <w:t>poz.</w:t>
      </w:r>
      <w:r w:rsidRPr="0039474D">
        <w:rPr>
          <w:rFonts w:ascii="Times New Roman" w:eastAsia="Times New Roman" w:hAnsi="Times New Roman" w:cs="Times New Roman"/>
          <w:sz w:val="24"/>
          <w:szCs w:val="24"/>
          <w:lang w:eastAsia="pl-PL"/>
        </w:rPr>
        <w:t xml:space="preserve"> 1304 i 1608).</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Przy czym zakłada się, że liczba ta nie może być mniejsza niż 50% wszystkich lokali utworzonych w wyniku realizacji danego przedsięwzięcia.</w:t>
      </w:r>
    </w:p>
    <w:p w:rsidR="00546627" w:rsidRPr="0039474D" w:rsidRDefault="001C2951"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 xml:space="preserve">Mając na uwadze fakt, że warunki udzielania finansowego zwrotnego wsparcia będą miały charakter preferencyjny, nie rynkowy, w </w:t>
      </w:r>
      <w:r w:rsidRPr="0039474D">
        <w:rPr>
          <w:rFonts w:ascii="Times New Roman" w:eastAsia="Times New Roman" w:hAnsi="Times New Roman" w:cs="Times New Roman"/>
          <w:b/>
          <w:spacing w:val="4"/>
          <w:sz w:val="24"/>
          <w:szCs w:val="24"/>
          <w:lang w:eastAsia="pl-PL"/>
        </w:rPr>
        <w:t xml:space="preserve">art. 15a ust. </w:t>
      </w:r>
      <w:r w:rsidR="00216295" w:rsidRPr="0039474D">
        <w:rPr>
          <w:rFonts w:ascii="Times New Roman" w:eastAsia="Times New Roman" w:hAnsi="Times New Roman" w:cs="Times New Roman"/>
          <w:b/>
          <w:spacing w:val="4"/>
          <w:sz w:val="24"/>
          <w:szCs w:val="24"/>
          <w:lang w:eastAsia="pl-PL"/>
        </w:rPr>
        <w:t>5</w:t>
      </w:r>
      <w:r w:rsidRPr="0039474D">
        <w:rPr>
          <w:rFonts w:ascii="Times New Roman" w:eastAsia="Times New Roman" w:hAnsi="Times New Roman" w:cs="Times New Roman"/>
          <w:spacing w:val="4"/>
          <w:sz w:val="24"/>
          <w:szCs w:val="24"/>
          <w:lang w:eastAsia="pl-PL"/>
        </w:rPr>
        <w:t xml:space="preserve"> wprowadzony został zapis, zgodnie z którym finansowanie zwrotne stanowi</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rekompensatę z tytułu świadczenia usług publicznych zgodnie z prawem Unii Europejskiej. Odpowiednie, szczegółowe warunki udzielania rekompensaty znajdą się w rozporządzeniu wykonawczym do ustawy (zgodnie z </w:t>
      </w:r>
      <w:r w:rsidRPr="0039474D">
        <w:rPr>
          <w:rFonts w:ascii="Times New Roman" w:eastAsia="Times New Roman" w:hAnsi="Times New Roman" w:cs="Times New Roman"/>
          <w:b/>
          <w:spacing w:val="4"/>
          <w:sz w:val="24"/>
          <w:szCs w:val="24"/>
          <w:lang w:eastAsia="pl-PL"/>
        </w:rPr>
        <w:t>art. 15b ust. 2</w:t>
      </w:r>
      <w:r w:rsidRPr="0039474D">
        <w:rPr>
          <w:rFonts w:ascii="Times New Roman" w:eastAsia="Times New Roman" w:hAnsi="Times New Roman" w:cs="Times New Roman"/>
          <w:spacing w:val="4"/>
          <w:sz w:val="24"/>
          <w:szCs w:val="24"/>
          <w:lang w:eastAsia="pl-PL"/>
        </w:rPr>
        <w:t xml:space="preserve">). </w:t>
      </w:r>
    </w:p>
    <w:p w:rsidR="00A943D7" w:rsidRPr="0039474D" w:rsidRDefault="00A943D7"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Z</w:t>
      </w:r>
      <w:r w:rsidR="00B936F7" w:rsidRPr="0039474D">
        <w:rPr>
          <w:rFonts w:ascii="Times New Roman" w:eastAsia="Times New Roman" w:hAnsi="Times New Roman" w:cs="Times New Roman"/>
          <w:sz w:val="24"/>
          <w:szCs w:val="24"/>
          <w:lang w:eastAsia="pl-PL"/>
        </w:rPr>
        <w:t>mian</w:t>
      </w:r>
      <w:r w:rsidRPr="0039474D">
        <w:rPr>
          <w:rFonts w:ascii="Times New Roman" w:eastAsia="Times New Roman" w:hAnsi="Times New Roman" w:cs="Times New Roman"/>
          <w:sz w:val="24"/>
          <w:szCs w:val="24"/>
          <w:lang w:eastAsia="pl-PL"/>
        </w:rPr>
        <w:t>y</w:t>
      </w:r>
      <w:r w:rsidR="00B936F7" w:rsidRPr="0039474D">
        <w:rPr>
          <w:rFonts w:ascii="Times New Roman" w:eastAsia="Times New Roman" w:hAnsi="Times New Roman" w:cs="Times New Roman"/>
          <w:sz w:val="24"/>
          <w:szCs w:val="24"/>
          <w:lang w:eastAsia="pl-PL"/>
        </w:rPr>
        <w:t xml:space="preserve"> w </w:t>
      </w:r>
      <w:r w:rsidR="00B936F7" w:rsidRPr="0039474D">
        <w:rPr>
          <w:rFonts w:ascii="Times New Roman" w:eastAsia="Times New Roman" w:hAnsi="Times New Roman" w:cs="Times New Roman"/>
          <w:b/>
          <w:sz w:val="24"/>
          <w:szCs w:val="24"/>
          <w:lang w:eastAsia="pl-PL"/>
        </w:rPr>
        <w:t>art. 15b</w:t>
      </w:r>
      <w:r w:rsidR="00B379CD">
        <w:rPr>
          <w:rFonts w:ascii="Times New Roman" w:eastAsia="Times New Roman" w:hAnsi="Times New Roman" w:cs="Times New Roman"/>
          <w:b/>
          <w:sz w:val="24"/>
          <w:szCs w:val="24"/>
          <w:lang w:eastAsia="pl-PL"/>
        </w:rPr>
        <w:t>–</w:t>
      </w:r>
      <w:r w:rsidR="00B936F7" w:rsidRPr="0039474D">
        <w:rPr>
          <w:rFonts w:ascii="Times New Roman" w:eastAsia="Times New Roman" w:hAnsi="Times New Roman" w:cs="Times New Roman"/>
          <w:b/>
          <w:sz w:val="24"/>
          <w:szCs w:val="24"/>
          <w:lang w:eastAsia="pl-PL"/>
        </w:rPr>
        <w:t>15d</w:t>
      </w:r>
      <w:r w:rsidR="00B936F7" w:rsidRPr="0039474D">
        <w:rPr>
          <w:rFonts w:ascii="Times New Roman" w:eastAsia="Times New Roman" w:hAnsi="Times New Roman" w:cs="Times New Roman"/>
          <w:sz w:val="24"/>
          <w:szCs w:val="24"/>
          <w:lang w:eastAsia="pl-PL"/>
        </w:rPr>
        <w:t xml:space="preserve"> dostosow</w:t>
      </w:r>
      <w:r w:rsidRPr="0039474D">
        <w:rPr>
          <w:rFonts w:ascii="Times New Roman" w:eastAsia="Times New Roman" w:hAnsi="Times New Roman" w:cs="Times New Roman"/>
          <w:sz w:val="24"/>
          <w:szCs w:val="24"/>
          <w:lang w:eastAsia="pl-PL"/>
        </w:rPr>
        <w:t>ują</w:t>
      </w:r>
      <w:r w:rsidR="00B936F7" w:rsidRPr="0039474D">
        <w:rPr>
          <w:rFonts w:ascii="Times New Roman" w:eastAsia="Times New Roman" w:hAnsi="Times New Roman" w:cs="Times New Roman"/>
          <w:sz w:val="24"/>
          <w:szCs w:val="24"/>
          <w:lang w:eastAsia="pl-PL"/>
        </w:rPr>
        <w:t xml:space="preserve"> przepis</w:t>
      </w:r>
      <w:r w:rsidRPr="0039474D">
        <w:rPr>
          <w:rFonts w:ascii="Times New Roman" w:eastAsia="Times New Roman" w:hAnsi="Times New Roman" w:cs="Times New Roman"/>
          <w:sz w:val="24"/>
          <w:szCs w:val="24"/>
          <w:lang w:eastAsia="pl-PL"/>
        </w:rPr>
        <w:t>y</w:t>
      </w:r>
      <w:r w:rsidR="00B936F7" w:rsidRPr="0039474D">
        <w:rPr>
          <w:rFonts w:ascii="Times New Roman" w:eastAsia="Times New Roman" w:hAnsi="Times New Roman" w:cs="Times New Roman"/>
          <w:sz w:val="24"/>
          <w:szCs w:val="24"/>
          <w:lang w:eastAsia="pl-PL"/>
        </w:rPr>
        <w:t xml:space="preserve"> ustaw</w:t>
      </w:r>
      <w:r w:rsidR="00BC0F74" w:rsidRPr="0039474D">
        <w:rPr>
          <w:rFonts w:ascii="Times New Roman" w:eastAsia="Times New Roman" w:hAnsi="Times New Roman" w:cs="Times New Roman"/>
          <w:sz w:val="24"/>
          <w:szCs w:val="24"/>
          <w:lang w:eastAsia="pl-PL"/>
        </w:rPr>
        <w:t>y do zasad</w:t>
      </w:r>
      <w:r w:rsidR="00B71CA7" w:rsidRPr="0039474D">
        <w:rPr>
          <w:rFonts w:ascii="Times New Roman" w:eastAsia="Times New Roman" w:hAnsi="Times New Roman" w:cs="Times New Roman"/>
          <w:sz w:val="24"/>
          <w:szCs w:val="24"/>
          <w:lang w:eastAsia="pl-PL"/>
        </w:rPr>
        <w:t>,</w:t>
      </w:r>
      <w:r w:rsidR="00BC0F74" w:rsidRPr="0039474D">
        <w:rPr>
          <w:rFonts w:ascii="Times New Roman" w:eastAsia="Times New Roman" w:hAnsi="Times New Roman" w:cs="Times New Roman"/>
          <w:sz w:val="24"/>
          <w:szCs w:val="24"/>
          <w:lang w:eastAsia="pl-PL"/>
        </w:rPr>
        <w:t xml:space="preserve"> na jakich opierała się będzie realizacja</w:t>
      </w:r>
      <w:r w:rsidR="00B936F7" w:rsidRPr="0039474D">
        <w:rPr>
          <w:rFonts w:ascii="Times New Roman" w:eastAsia="Times New Roman" w:hAnsi="Times New Roman" w:cs="Times New Roman"/>
          <w:sz w:val="24"/>
          <w:szCs w:val="24"/>
          <w:lang w:eastAsia="pl-PL"/>
        </w:rPr>
        <w:t xml:space="preserve"> </w:t>
      </w:r>
      <w:r w:rsidR="00BC0F74" w:rsidRPr="0039474D">
        <w:rPr>
          <w:rFonts w:ascii="Times New Roman" w:eastAsia="Times New Roman" w:hAnsi="Times New Roman" w:cs="Times New Roman"/>
          <w:sz w:val="24"/>
          <w:szCs w:val="24"/>
          <w:lang w:eastAsia="pl-PL"/>
        </w:rPr>
        <w:t>rządowego</w:t>
      </w:r>
      <w:r w:rsidR="00B936F7" w:rsidRPr="0039474D">
        <w:rPr>
          <w:rFonts w:ascii="Times New Roman" w:eastAsia="Times New Roman" w:hAnsi="Times New Roman" w:cs="Times New Roman"/>
          <w:sz w:val="24"/>
          <w:szCs w:val="24"/>
          <w:lang w:eastAsia="pl-PL"/>
        </w:rPr>
        <w:t xml:space="preserve"> programu wsparcia społecznego budownictwa czynszowego</w:t>
      </w:r>
      <w:r w:rsidR="004635F5" w:rsidRPr="0039474D">
        <w:rPr>
          <w:rFonts w:ascii="Times New Roman" w:eastAsia="Times New Roman" w:hAnsi="Times New Roman" w:cs="Times New Roman"/>
          <w:sz w:val="24"/>
          <w:szCs w:val="24"/>
          <w:lang w:eastAsia="pl-PL"/>
        </w:rPr>
        <w:t>. O</w:t>
      </w:r>
      <w:r w:rsidR="00BC0F74" w:rsidRPr="0039474D">
        <w:rPr>
          <w:rFonts w:ascii="Times New Roman" w:eastAsia="Times New Roman" w:hAnsi="Times New Roman" w:cs="Times New Roman"/>
          <w:sz w:val="24"/>
          <w:szCs w:val="24"/>
          <w:lang w:eastAsia="pl-PL"/>
        </w:rPr>
        <w:t xml:space="preserve">mówieniu nowego instrumentu wsparcia, w tym przedstawieniu zakładanej formuły dofinansowania programu ze środków budżetowych związanej z zapewnieniem preferencyjnych warunków finansowania, poświęcona została obszerna część uzasadnienia </w:t>
      </w:r>
      <w:r w:rsidR="00BC0F74" w:rsidRPr="0039474D">
        <w:rPr>
          <w:rFonts w:ascii="Times New Roman" w:eastAsia="Times New Roman" w:hAnsi="Times New Roman" w:cs="Times New Roman"/>
          <w:sz w:val="24"/>
          <w:szCs w:val="24"/>
          <w:lang w:eastAsia="pl-PL"/>
        </w:rPr>
        <w:lastRenderedPageBreak/>
        <w:t xml:space="preserve">projektu ustawy </w:t>
      </w:r>
      <w:r w:rsidRPr="0039474D">
        <w:rPr>
          <w:rFonts w:ascii="Times New Roman" w:eastAsia="Times New Roman" w:hAnsi="Times New Roman" w:cs="Times New Roman"/>
          <w:sz w:val="24"/>
          <w:szCs w:val="24"/>
          <w:lang w:eastAsia="pl-PL"/>
        </w:rPr>
        <w:t xml:space="preserve">w </w:t>
      </w:r>
      <w:r w:rsidR="00BC0F74" w:rsidRPr="0039474D">
        <w:rPr>
          <w:rFonts w:ascii="Times New Roman" w:eastAsia="Times New Roman" w:hAnsi="Times New Roman" w:cs="Times New Roman"/>
          <w:sz w:val="24"/>
          <w:szCs w:val="24"/>
          <w:lang w:eastAsia="pl-PL"/>
        </w:rPr>
        <w:t>pkt. II</w:t>
      </w:r>
      <w:r w:rsidR="00BA0360" w:rsidRPr="0039474D">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Podstawowe zmiany w ustawie, których wprowadzenie w ww. zakresie przewiduje projekt, </w:t>
      </w:r>
      <w:r w:rsidR="000657BD" w:rsidRPr="0039474D">
        <w:rPr>
          <w:rFonts w:ascii="Times New Roman" w:eastAsia="Times New Roman" w:hAnsi="Times New Roman" w:cs="Times New Roman"/>
          <w:sz w:val="24"/>
          <w:szCs w:val="24"/>
          <w:lang w:eastAsia="pl-PL"/>
        </w:rPr>
        <w:t>dotyczą</w:t>
      </w:r>
      <w:r w:rsidRPr="0039474D">
        <w:rPr>
          <w:rFonts w:ascii="Times New Roman" w:eastAsia="Times New Roman" w:hAnsi="Times New Roman" w:cs="Times New Roman"/>
          <w:sz w:val="24"/>
          <w:szCs w:val="24"/>
          <w:lang w:eastAsia="pl-PL"/>
        </w:rPr>
        <w:t xml:space="preserve">: </w:t>
      </w:r>
    </w:p>
    <w:p w:rsidR="00B936F7" w:rsidRPr="0039474D" w:rsidRDefault="00A943D7" w:rsidP="00F5508D">
      <w:pPr>
        <w:numPr>
          <w:ilvl w:val="0"/>
          <w:numId w:val="29"/>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w </w:t>
      </w:r>
      <w:r w:rsidRPr="0039474D">
        <w:rPr>
          <w:rFonts w:ascii="Times New Roman" w:eastAsia="Times New Roman" w:hAnsi="Times New Roman" w:cs="Times New Roman"/>
          <w:b/>
          <w:sz w:val="24"/>
          <w:szCs w:val="24"/>
          <w:lang w:eastAsia="pl-PL"/>
        </w:rPr>
        <w:t>art. 15b</w:t>
      </w:r>
      <w:r w:rsidR="008C6FF8" w:rsidRPr="0039474D">
        <w:rPr>
          <w:rFonts w:ascii="Times New Roman" w:eastAsia="Times New Roman" w:hAnsi="Times New Roman" w:cs="Times New Roman"/>
          <w:b/>
          <w:sz w:val="24"/>
          <w:szCs w:val="24"/>
          <w:lang w:eastAsia="pl-PL"/>
        </w:rPr>
        <w:t xml:space="preserve"> ust. 1</w:t>
      </w:r>
      <w:r w:rsidR="00B379CD">
        <w:rPr>
          <w:rFonts w:ascii="Times New Roman" w:eastAsia="Times New Roman" w:hAnsi="Times New Roman" w:cs="Times New Roman"/>
          <w:b/>
          <w:sz w:val="24"/>
          <w:szCs w:val="24"/>
          <w:lang w:eastAsia="pl-PL"/>
        </w:rPr>
        <w:t>–</w:t>
      </w:r>
      <w:r w:rsidR="008C6FF8" w:rsidRPr="0039474D">
        <w:rPr>
          <w:rFonts w:ascii="Times New Roman" w:eastAsia="Times New Roman" w:hAnsi="Times New Roman" w:cs="Times New Roman"/>
          <w:b/>
          <w:sz w:val="24"/>
          <w:szCs w:val="24"/>
          <w:lang w:eastAsia="pl-PL"/>
        </w:rPr>
        <w:t>3 oraz 5</w:t>
      </w:r>
      <w:r w:rsidRPr="0039474D">
        <w:rPr>
          <w:rFonts w:ascii="Times New Roman" w:eastAsia="Times New Roman" w:hAnsi="Times New Roman" w:cs="Times New Roman"/>
          <w:sz w:val="24"/>
          <w:szCs w:val="24"/>
          <w:lang w:eastAsia="pl-PL"/>
        </w:rPr>
        <w:t xml:space="preserve"> </w:t>
      </w:r>
      <w:r w:rsidR="00AE26C9" w:rsidRPr="0039474D">
        <w:rPr>
          <w:rFonts w:ascii="Times New Roman" w:eastAsia="Times New Roman" w:hAnsi="Times New Roman" w:cs="Times New Roman"/>
          <w:sz w:val="24"/>
          <w:szCs w:val="24"/>
          <w:lang w:eastAsia="pl-PL"/>
        </w:rPr>
        <w:t>określenie</w:t>
      </w:r>
      <w:r w:rsidR="00F749A5">
        <w:rPr>
          <w:rFonts w:ascii="Times New Roman" w:eastAsia="Times New Roman" w:hAnsi="Times New Roman" w:cs="Times New Roman"/>
          <w:sz w:val="24"/>
          <w:szCs w:val="24"/>
          <w:lang w:eastAsia="pl-PL"/>
        </w:rPr>
        <w:t xml:space="preserve"> </w:t>
      </w:r>
      <w:r w:rsidR="00AE26C9" w:rsidRPr="0039474D">
        <w:rPr>
          <w:rFonts w:ascii="Times New Roman" w:eastAsia="Times New Roman" w:hAnsi="Times New Roman" w:cs="Times New Roman"/>
          <w:sz w:val="24"/>
          <w:szCs w:val="24"/>
          <w:lang w:eastAsia="pl-PL"/>
        </w:rPr>
        <w:t>wysokości finansowania zwrotnego udzielanego przez Bank Gospodarstwa Krajowego (nie więcej niż 75% kosztów przedsięwzięcia inwestycyjno-budowlanego) oraz okresu jego udzielania</w:t>
      </w:r>
      <w:r w:rsidR="00F749A5">
        <w:rPr>
          <w:rFonts w:ascii="Times New Roman" w:eastAsia="Times New Roman" w:hAnsi="Times New Roman" w:cs="Times New Roman"/>
          <w:sz w:val="24"/>
          <w:szCs w:val="24"/>
          <w:lang w:eastAsia="pl-PL"/>
        </w:rPr>
        <w:t xml:space="preserve"> </w:t>
      </w:r>
      <w:r w:rsidR="00AE26C9" w:rsidRPr="0039474D">
        <w:rPr>
          <w:rFonts w:ascii="Times New Roman" w:eastAsia="Times New Roman" w:hAnsi="Times New Roman" w:cs="Times New Roman"/>
          <w:sz w:val="24"/>
          <w:szCs w:val="24"/>
          <w:lang w:eastAsia="pl-PL"/>
        </w:rPr>
        <w:t>(nie dłużej niż 30 lat),</w:t>
      </w:r>
      <w:r w:rsidR="008C6FF8" w:rsidRPr="0039474D">
        <w:rPr>
          <w:rFonts w:ascii="Times New Roman" w:eastAsia="Times New Roman" w:hAnsi="Times New Roman" w:cs="Times New Roman"/>
          <w:sz w:val="24"/>
          <w:szCs w:val="24"/>
          <w:lang w:eastAsia="pl-PL"/>
        </w:rPr>
        <w:t xml:space="preserve"> jak również</w:t>
      </w:r>
      <w:r w:rsidR="00AE26C9" w:rsidRPr="0039474D">
        <w:rPr>
          <w:rFonts w:ascii="Times New Roman" w:eastAsia="Times New Roman" w:hAnsi="Times New Roman" w:cs="Times New Roman"/>
          <w:sz w:val="24"/>
          <w:szCs w:val="24"/>
          <w:lang w:eastAsia="pl-PL"/>
        </w:rPr>
        <w:t xml:space="preserve"> </w:t>
      </w:r>
      <w:r w:rsidR="00B936F7" w:rsidRPr="0039474D">
        <w:rPr>
          <w:rFonts w:ascii="Times New Roman" w:eastAsia="Times New Roman" w:hAnsi="Times New Roman" w:cs="Times New Roman"/>
          <w:sz w:val="24"/>
          <w:szCs w:val="24"/>
          <w:lang w:eastAsia="pl-PL"/>
        </w:rPr>
        <w:t>urealnienie</w:t>
      </w:r>
      <w:r w:rsidRPr="0039474D">
        <w:rPr>
          <w:rFonts w:ascii="Times New Roman" w:eastAsia="Times New Roman" w:hAnsi="Times New Roman" w:cs="Times New Roman"/>
          <w:sz w:val="24"/>
          <w:szCs w:val="24"/>
          <w:lang w:eastAsia="pl-PL"/>
        </w:rPr>
        <w:t xml:space="preserve"> i uzupełnienie</w:t>
      </w:r>
      <w:r w:rsidR="00B936F7" w:rsidRPr="0039474D">
        <w:rPr>
          <w:rFonts w:ascii="Times New Roman" w:eastAsia="Times New Roman" w:hAnsi="Times New Roman" w:cs="Times New Roman"/>
          <w:sz w:val="24"/>
          <w:szCs w:val="24"/>
          <w:lang w:eastAsia="pl-PL"/>
        </w:rPr>
        <w:t xml:space="preserve"> obecnych przepisów delegacji i wytycznych ustawowych</w:t>
      </w:r>
      <w:r w:rsidR="005B5085" w:rsidRPr="0039474D">
        <w:rPr>
          <w:rFonts w:ascii="Times New Roman" w:eastAsia="Times New Roman" w:hAnsi="Times New Roman" w:cs="Times New Roman"/>
          <w:sz w:val="24"/>
          <w:szCs w:val="24"/>
          <w:lang w:eastAsia="pl-PL"/>
        </w:rPr>
        <w:t xml:space="preserve"> – </w:t>
      </w:r>
      <w:r w:rsidR="005B6A40" w:rsidRPr="0039474D">
        <w:rPr>
          <w:rFonts w:ascii="Times New Roman" w:eastAsia="Times New Roman" w:hAnsi="Times New Roman" w:cs="Times New Roman"/>
          <w:sz w:val="24"/>
          <w:szCs w:val="24"/>
          <w:lang w:eastAsia="pl-PL"/>
        </w:rPr>
        <w:t>zakres delegacji ustawowych został znacznie ograniczony, gdyż w</w:t>
      </w:r>
      <w:r w:rsidR="000657BD" w:rsidRPr="0039474D">
        <w:rPr>
          <w:rFonts w:ascii="Times New Roman" w:eastAsia="Times New Roman" w:hAnsi="Times New Roman" w:cs="Times New Roman"/>
          <w:sz w:val="24"/>
          <w:szCs w:val="24"/>
          <w:lang w:eastAsia="pl-PL"/>
        </w:rPr>
        <w:t xml:space="preserve"> opinii projektodawcy, w obecnym stanie prawnym, w zakresie właś</w:t>
      </w:r>
      <w:r w:rsidR="005B6A40" w:rsidRPr="0039474D">
        <w:rPr>
          <w:rFonts w:ascii="Times New Roman" w:eastAsia="Times New Roman" w:hAnsi="Times New Roman" w:cs="Times New Roman"/>
          <w:sz w:val="24"/>
          <w:szCs w:val="24"/>
          <w:lang w:eastAsia="pl-PL"/>
        </w:rPr>
        <w:t>ciwości energetycznych budynków</w:t>
      </w:r>
      <w:r w:rsidR="000657BD" w:rsidRPr="0039474D">
        <w:rPr>
          <w:rFonts w:ascii="Times New Roman" w:eastAsia="Times New Roman" w:hAnsi="Times New Roman" w:cs="Times New Roman"/>
          <w:sz w:val="24"/>
          <w:szCs w:val="24"/>
          <w:lang w:eastAsia="pl-PL"/>
        </w:rPr>
        <w:t>, jak również minimalnych powierzchni mieszkań (które były</w:t>
      </w:r>
      <w:r w:rsidR="00F749A5">
        <w:rPr>
          <w:rFonts w:ascii="Times New Roman" w:eastAsia="Times New Roman" w:hAnsi="Times New Roman" w:cs="Times New Roman"/>
          <w:sz w:val="24"/>
          <w:szCs w:val="24"/>
          <w:lang w:eastAsia="pl-PL"/>
        </w:rPr>
        <w:t xml:space="preserve"> </w:t>
      </w:r>
      <w:r w:rsidR="005B6A40" w:rsidRPr="0039474D">
        <w:rPr>
          <w:rFonts w:ascii="Times New Roman" w:eastAsia="Times New Roman" w:hAnsi="Times New Roman" w:cs="Times New Roman"/>
          <w:sz w:val="24"/>
          <w:szCs w:val="24"/>
          <w:lang w:eastAsia="pl-PL"/>
        </w:rPr>
        <w:t>dodatkowo uregulowane w przepisach odnoszących się do programu finansowanego ze środków byłego Krajowego Funduszu Mieszkaniowego)</w:t>
      </w:r>
      <w:r w:rsidR="000657BD" w:rsidRPr="0039474D">
        <w:rPr>
          <w:rFonts w:ascii="Times New Roman" w:eastAsia="Times New Roman" w:hAnsi="Times New Roman" w:cs="Times New Roman"/>
          <w:sz w:val="24"/>
          <w:szCs w:val="24"/>
          <w:lang w:eastAsia="pl-PL"/>
        </w:rPr>
        <w:t xml:space="preserve">, wystarczające są </w:t>
      </w:r>
      <w:r w:rsidR="005B6A40" w:rsidRPr="0039474D">
        <w:rPr>
          <w:rFonts w:ascii="Times New Roman" w:eastAsia="Times New Roman" w:hAnsi="Times New Roman" w:cs="Times New Roman"/>
          <w:sz w:val="24"/>
          <w:szCs w:val="24"/>
          <w:lang w:eastAsia="pl-PL"/>
        </w:rPr>
        <w:t>regulacje wynikające z</w:t>
      </w:r>
      <w:r w:rsidR="00F749A5">
        <w:rPr>
          <w:rFonts w:ascii="Times New Roman" w:eastAsia="Times New Roman" w:hAnsi="Times New Roman" w:cs="Times New Roman"/>
          <w:sz w:val="24"/>
          <w:szCs w:val="24"/>
          <w:lang w:eastAsia="pl-PL"/>
        </w:rPr>
        <w:t xml:space="preserve"> </w:t>
      </w:r>
      <w:r w:rsidR="005B6A40" w:rsidRPr="0039474D">
        <w:rPr>
          <w:rFonts w:ascii="Times New Roman" w:eastAsia="Times New Roman" w:hAnsi="Times New Roman" w:cs="Times New Roman"/>
          <w:sz w:val="24"/>
          <w:szCs w:val="24"/>
          <w:lang w:eastAsia="pl-PL"/>
        </w:rPr>
        <w:t>przepisów ogólnych</w:t>
      </w:r>
      <w:r w:rsidR="00945FED" w:rsidRPr="0039474D">
        <w:rPr>
          <w:rFonts w:ascii="Times New Roman" w:eastAsia="Times New Roman" w:hAnsi="Times New Roman" w:cs="Times New Roman"/>
          <w:sz w:val="24"/>
          <w:szCs w:val="24"/>
          <w:lang w:eastAsia="pl-PL"/>
        </w:rPr>
        <w:t>;</w:t>
      </w:r>
      <w:r w:rsidR="005B6A40" w:rsidRPr="0039474D">
        <w:rPr>
          <w:rFonts w:ascii="Times New Roman" w:eastAsia="Times New Roman" w:hAnsi="Times New Roman" w:cs="Times New Roman"/>
          <w:sz w:val="24"/>
          <w:szCs w:val="24"/>
          <w:lang w:eastAsia="pl-PL"/>
        </w:rPr>
        <w:t xml:space="preserve"> jednocześnie delegacja ustawowa uwzględnia fakt, że finansowanie, które będzie udzielane na podstawie znowelizowanych przepisów</w:t>
      </w:r>
      <w:r w:rsidR="00B71CA7" w:rsidRPr="0039474D">
        <w:rPr>
          <w:rFonts w:ascii="Times New Roman" w:eastAsia="Times New Roman" w:hAnsi="Times New Roman" w:cs="Times New Roman"/>
          <w:sz w:val="24"/>
          <w:szCs w:val="24"/>
          <w:lang w:eastAsia="pl-PL"/>
        </w:rPr>
        <w:t>,</w:t>
      </w:r>
      <w:r w:rsidR="005B6A40" w:rsidRPr="0039474D">
        <w:rPr>
          <w:rFonts w:ascii="Times New Roman" w:eastAsia="Times New Roman" w:hAnsi="Times New Roman" w:cs="Times New Roman"/>
          <w:sz w:val="24"/>
          <w:szCs w:val="24"/>
          <w:lang w:eastAsia="pl-PL"/>
        </w:rPr>
        <w:t xml:space="preserve"> będzie stanowiło rekompensatę z tytułu świadczenia usług publicznych w rozumieniu przepisów prawa Unii Europejskiej</w:t>
      </w:r>
      <w:r w:rsidR="00B379CD">
        <w:rPr>
          <w:rFonts w:ascii="Times New Roman" w:eastAsia="Times New Roman" w:hAnsi="Times New Roman" w:cs="Times New Roman"/>
          <w:sz w:val="24"/>
          <w:szCs w:val="24"/>
          <w:lang w:eastAsia="pl-PL"/>
        </w:rPr>
        <w:t>,</w:t>
      </w:r>
      <w:r w:rsidR="005B6A40" w:rsidRPr="0039474D">
        <w:rPr>
          <w:rFonts w:ascii="Times New Roman" w:eastAsia="Times New Roman" w:hAnsi="Times New Roman" w:cs="Times New Roman"/>
          <w:sz w:val="24"/>
          <w:szCs w:val="24"/>
          <w:lang w:eastAsia="pl-PL"/>
        </w:rPr>
        <w:t xml:space="preserve"> </w:t>
      </w:r>
    </w:p>
    <w:p w:rsidR="008C6FF8" w:rsidRPr="0039474D" w:rsidRDefault="008C6FF8" w:rsidP="00F5508D">
      <w:pPr>
        <w:numPr>
          <w:ilvl w:val="0"/>
          <w:numId w:val="29"/>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w </w:t>
      </w:r>
      <w:r w:rsidRPr="0039474D">
        <w:rPr>
          <w:rFonts w:ascii="Times New Roman" w:eastAsia="Times New Roman" w:hAnsi="Times New Roman" w:cs="Times New Roman"/>
          <w:b/>
          <w:sz w:val="24"/>
          <w:szCs w:val="24"/>
          <w:lang w:eastAsia="pl-PL"/>
        </w:rPr>
        <w:t>art. 15b ust. 4</w:t>
      </w:r>
      <w:r w:rsidR="00216295" w:rsidRPr="0039474D">
        <w:rPr>
          <w:rFonts w:ascii="Times New Roman" w:eastAsia="Times New Roman" w:hAnsi="Times New Roman" w:cs="Times New Roman"/>
          <w:b/>
          <w:sz w:val="24"/>
          <w:szCs w:val="24"/>
          <w:lang w:eastAsia="pl-PL"/>
        </w:rPr>
        <w:t xml:space="preserve"> </w:t>
      </w:r>
      <w:r w:rsidR="00216295" w:rsidRPr="0039474D">
        <w:rPr>
          <w:rFonts w:ascii="Times New Roman" w:eastAsia="Times New Roman" w:hAnsi="Times New Roman" w:cs="Times New Roman"/>
          <w:sz w:val="24"/>
          <w:szCs w:val="24"/>
          <w:lang w:eastAsia="pl-PL"/>
        </w:rPr>
        <w:t>określenie przypadków, w których Bank Gospodarstwa Krajowego będzie mógł odmówić finansowania zwrotnego lub też żądać zwrotu udzielonego już finansowania w całości lub w części</w:t>
      </w:r>
      <w:r w:rsidRPr="0039474D">
        <w:rPr>
          <w:rFonts w:ascii="Times New Roman" w:eastAsia="Times New Roman" w:hAnsi="Times New Roman" w:cs="Times New Roman"/>
          <w:sz w:val="24"/>
          <w:szCs w:val="24"/>
          <w:lang w:eastAsia="pl-PL"/>
        </w:rPr>
        <w:t>.</w:t>
      </w:r>
      <w:r w:rsidR="008F71D0" w:rsidRPr="0039474D">
        <w:rPr>
          <w:rFonts w:ascii="Times New Roman" w:eastAsia="Times New Roman" w:hAnsi="Times New Roman" w:cs="Times New Roman"/>
          <w:sz w:val="24"/>
          <w:szCs w:val="24"/>
          <w:lang w:eastAsia="pl-PL"/>
        </w:rPr>
        <w:t xml:space="preserve"> Projekt ustawy wymienia tu przede wszystkim: wykorzystanie finansowania niezgodnie z celem, niedochowanie z winy kredytobiorcy warunku, aby w ramach realizowanego </w:t>
      </w:r>
      <w:r w:rsidR="00F5508D">
        <w:rPr>
          <w:rFonts w:ascii="Times New Roman" w:eastAsia="Times New Roman" w:hAnsi="Times New Roman" w:cs="Times New Roman"/>
          <w:sz w:val="24"/>
          <w:szCs w:val="24"/>
          <w:lang w:eastAsia="pl-PL"/>
        </w:rPr>
        <w:t>przedsięwzięcia przynajmniej 50</w:t>
      </w:r>
      <w:r w:rsidR="008F71D0" w:rsidRPr="0039474D">
        <w:rPr>
          <w:rFonts w:ascii="Times New Roman" w:eastAsia="Times New Roman" w:hAnsi="Times New Roman" w:cs="Times New Roman"/>
          <w:sz w:val="24"/>
          <w:szCs w:val="24"/>
          <w:lang w:eastAsia="pl-PL"/>
        </w:rPr>
        <w:t>% lokali miesz</w:t>
      </w:r>
      <w:r w:rsidR="007F4D3A" w:rsidRPr="0039474D">
        <w:rPr>
          <w:rFonts w:ascii="Times New Roman" w:eastAsia="Times New Roman" w:hAnsi="Times New Roman" w:cs="Times New Roman"/>
          <w:sz w:val="24"/>
          <w:szCs w:val="24"/>
          <w:lang w:eastAsia="pl-PL"/>
        </w:rPr>
        <w:t>k</w:t>
      </w:r>
      <w:r w:rsidR="008F71D0" w:rsidRPr="0039474D">
        <w:rPr>
          <w:rFonts w:ascii="Times New Roman" w:eastAsia="Times New Roman" w:hAnsi="Times New Roman" w:cs="Times New Roman"/>
          <w:sz w:val="24"/>
          <w:szCs w:val="24"/>
          <w:lang w:eastAsia="pl-PL"/>
        </w:rPr>
        <w:t>a</w:t>
      </w:r>
      <w:r w:rsidR="007F4D3A" w:rsidRPr="0039474D">
        <w:rPr>
          <w:rFonts w:ascii="Times New Roman" w:eastAsia="Times New Roman" w:hAnsi="Times New Roman" w:cs="Times New Roman"/>
          <w:sz w:val="24"/>
          <w:szCs w:val="24"/>
          <w:lang w:eastAsia="pl-PL"/>
        </w:rPr>
        <w:t>l</w:t>
      </w:r>
      <w:r w:rsidR="008F71D0" w:rsidRPr="0039474D">
        <w:rPr>
          <w:rFonts w:ascii="Times New Roman" w:eastAsia="Times New Roman" w:hAnsi="Times New Roman" w:cs="Times New Roman"/>
          <w:sz w:val="24"/>
          <w:szCs w:val="24"/>
          <w:lang w:eastAsia="pl-PL"/>
        </w:rPr>
        <w:t>nych było wynajmowanych osobom wychowującym przynajmniej jedno własne lub przysposobione dziecko,</w:t>
      </w:r>
      <w:r w:rsidR="007F4D3A" w:rsidRPr="0039474D">
        <w:rPr>
          <w:rFonts w:ascii="Times New Roman" w:eastAsia="Times New Roman" w:hAnsi="Times New Roman" w:cs="Times New Roman"/>
          <w:sz w:val="24"/>
          <w:szCs w:val="24"/>
          <w:lang w:eastAsia="pl-PL"/>
        </w:rPr>
        <w:t xml:space="preserve"> zmianę przeznaczenia lokali, naruszenie przepisów obowiązujących w zakresie rekompensaty z tytułu świadczenia usług publicznych w rozumieniu przepisów prawa Unii Europejskiej, wskazanie we wniosku o udzielenie finansowania fałszywych informacji bądź niedotrzymanie, z winy kredytobiorcy, zadeklarowanych we wniosku złożonym w Banku Gospodarstwa Krajowego</w:t>
      </w:r>
      <w:r w:rsidR="00F749A5">
        <w:rPr>
          <w:rFonts w:ascii="Times New Roman" w:eastAsia="Times New Roman" w:hAnsi="Times New Roman" w:cs="Times New Roman"/>
          <w:sz w:val="24"/>
          <w:szCs w:val="24"/>
          <w:lang w:eastAsia="pl-PL"/>
        </w:rPr>
        <w:t xml:space="preserve"> </w:t>
      </w:r>
      <w:r w:rsidR="007F4D3A" w:rsidRPr="0039474D">
        <w:rPr>
          <w:rFonts w:ascii="Times New Roman" w:eastAsia="Times New Roman" w:hAnsi="Times New Roman" w:cs="Times New Roman"/>
          <w:sz w:val="24"/>
          <w:szCs w:val="24"/>
          <w:lang w:eastAsia="pl-PL"/>
        </w:rPr>
        <w:t>parametrów przedsięwzięcia</w:t>
      </w:r>
      <w:r w:rsidR="00B379CD">
        <w:rPr>
          <w:rFonts w:ascii="Times New Roman" w:eastAsia="Times New Roman" w:hAnsi="Times New Roman" w:cs="Times New Roman"/>
          <w:sz w:val="24"/>
          <w:szCs w:val="24"/>
          <w:lang w:eastAsia="pl-PL"/>
        </w:rPr>
        <w:t>,</w:t>
      </w:r>
    </w:p>
    <w:p w:rsidR="004635F5" w:rsidRPr="0039474D" w:rsidRDefault="009B3B9F" w:rsidP="00F5508D">
      <w:pPr>
        <w:numPr>
          <w:ilvl w:val="0"/>
          <w:numId w:val="29"/>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w </w:t>
      </w:r>
      <w:r w:rsidRPr="0039474D">
        <w:rPr>
          <w:rFonts w:ascii="Times New Roman" w:eastAsia="Times New Roman" w:hAnsi="Times New Roman" w:cs="Times New Roman"/>
          <w:b/>
          <w:sz w:val="24"/>
          <w:szCs w:val="24"/>
          <w:lang w:eastAsia="pl-PL"/>
        </w:rPr>
        <w:t xml:space="preserve">art. 15c </w:t>
      </w:r>
      <w:r w:rsidR="004635F5" w:rsidRPr="0039474D">
        <w:rPr>
          <w:rFonts w:ascii="Times New Roman" w:eastAsia="Times New Roman" w:hAnsi="Times New Roman" w:cs="Times New Roman"/>
          <w:b/>
          <w:sz w:val="24"/>
          <w:szCs w:val="24"/>
          <w:lang w:eastAsia="pl-PL"/>
        </w:rPr>
        <w:t>ust. 1</w:t>
      </w:r>
      <w:r w:rsidR="00B379CD">
        <w:rPr>
          <w:rFonts w:ascii="Times New Roman" w:eastAsia="Times New Roman" w:hAnsi="Times New Roman" w:cs="Times New Roman"/>
          <w:b/>
          <w:sz w:val="24"/>
          <w:szCs w:val="24"/>
          <w:lang w:eastAsia="pl-PL"/>
        </w:rPr>
        <w:t>–</w:t>
      </w:r>
      <w:r w:rsidR="004635F5" w:rsidRPr="0039474D">
        <w:rPr>
          <w:rFonts w:ascii="Times New Roman" w:eastAsia="Times New Roman" w:hAnsi="Times New Roman" w:cs="Times New Roman"/>
          <w:b/>
          <w:sz w:val="24"/>
          <w:szCs w:val="24"/>
          <w:lang w:eastAsia="pl-PL"/>
        </w:rPr>
        <w:t xml:space="preserve">4 </w:t>
      </w:r>
      <w:r w:rsidR="004635F5" w:rsidRPr="0039474D">
        <w:rPr>
          <w:rFonts w:ascii="Times New Roman" w:eastAsia="Times New Roman" w:hAnsi="Times New Roman" w:cs="Times New Roman"/>
          <w:sz w:val="24"/>
          <w:szCs w:val="24"/>
          <w:lang w:eastAsia="pl-PL"/>
        </w:rPr>
        <w:t>określenie rozwiązań zmieniających</w:t>
      </w:r>
      <w:r w:rsidR="00B936F7" w:rsidRPr="0039474D">
        <w:rPr>
          <w:rFonts w:ascii="Times New Roman" w:eastAsia="Times New Roman" w:hAnsi="Times New Roman" w:cs="Times New Roman"/>
          <w:sz w:val="24"/>
          <w:szCs w:val="24"/>
          <w:lang w:eastAsia="pl-PL"/>
        </w:rPr>
        <w:t xml:space="preserve"> model dofinansowania programu ze środków budżetu państwa</w:t>
      </w:r>
      <w:r w:rsidRPr="0039474D">
        <w:rPr>
          <w:rFonts w:ascii="Times New Roman" w:eastAsia="Times New Roman" w:hAnsi="Times New Roman" w:cs="Times New Roman"/>
          <w:sz w:val="24"/>
          <w:szCs w:val="24"/>
          <w:lang w:eastAsia="pl-PL"/>
        </w:rPr>
        <w:t>, wraz z zapewnieniem adekwatnej do programu formuły planowania i przekazywania środków. W szczególności zmiany dotyczą o</w:t>
      </w:r>
      <w:r w:rsidR="00B936F7" w:rsidRPr="0039474D">
        <w:rPr>
          <w:rFonts w:ascii="Times New Roman" w:eastAsia="Times New Roman" w:hAnsi="Times New Roman" w:cs="Times New Roman"/>
          <w:sz w:val="24"/>
          <w:szCs w:val="24"/>
          <w:lang w:eastAsia="pl-PL"/>
        </w:rPr>
        <w:t>dejści</w:t>
      </w:r>
      <w:r w:rsidR="000275D1" w:rsidRPr="0039474D">
        <w:rPr>
          <w:rFonts w:ascii="Times New Roman" w:eastAsia="Times New Roman" w:hAnsi="Times New Roman" w:cs="Times New Roman"/>
          <w:sz w:val="24"/>
          <w:szCs w:val="24"/>
          <w:lang w:eastAsia="pl-PL"/>
        </w:rPr>
        <w:t>a</w:t>
      </w:r>
      <w:r w:rsidR="00B936F7" w:rsidRPr="0039474D">
        <w:rPr>
          <w:rFonts w:ascii="Times New Roman" w:eastAsia="Times New Roman" w:hAnsi="Times New Roman" w:cs="Times New Roman"/>
          <w:sz w:val="24"/>
          <w:szCs w:val="24"/>
          <w:lang w:eastAsia="pl-PL"/>
        </w:rPr>
        <w:t xml:space="preserve"> od modelu dofinansowania funduszu statutowego BGK na rzecz dopłat do oprocentowania</w:t>
      </w:r>
      <w:r w:rsidRPr="0039474D">
        <w:rPr>
          <w:rFonts w:ascii="Times New Roman" w:eastAsia="Times New Roman" w:hAnsi="Times New Roman" w:cs="Times New Roman"/>
          <w:sz w:val="24"/>
          <w:szCs w:val="24"/>
          <w:lang w:eastAsia="pl-PL"/>
        </w:rPr>
        <w:t xml:space="preserve"> kredytu, określenia w ustawie istotnych mechanizmów i parametrów nowego instrumentu finansowania rządowego programu społecznego budownictwa czynszowego oraz </w:t>
      </w:r>
      <w:r w:rsidRPr="0039474D">
        <w:rPr>
          <w:rFonts w:ascii="Times New Roman" w:eastAsia="Times New Roman" w:hAnsi="Times New Roman" w:cs="Times New Roman"/>
          <w:sz w:val="24"/>
          <w:szCs w:val="24"/>
          <w:lang w:eastAsia="pl-PL"/>
        </w:rPr>
        <w:lastRenderedPageBreak/>
        <w:t xml:space="preserve">wskazania </w:t>
      </w:r>
      <w:r w:rsidR="00BA0360" w:rsidRPr="0039474D">
        <w:rPr>
          <w:rFonts w:ascii="Times New Roman" w:eastAsia="Times New Roman" w:hAnsi="Times New Roman" w:cs="Times New Roman"/>
          <w:sz w:val="24"/>
          <w:szCs w:val="24"/>
          <w:lang w:eastAsia="pl-PL"/>
        </w:rPr>
        <w:t xml:space="preserve">Funduszu Dopłat w BGK </w:t>
      </w:r>
      <w:r w:rsidRPr="0039474D">
        <w:rPr>
          <w:rFonts w:ascii="Times New Roman" w:eastAsia="Times New Roman" w:hAnsi="Times New Roman" w:cs="Times New Roman"/>
          <w:sz w:val="24"/>
          <w:szCs w:val="24"/>
          <w:lang w:eastAsia="pl-PL"/>
        </w:rPr>
        <w:t>jako źródła fina</w:t>
      </w:r>
      <w:r w:rsidR="00E95358" w:rsidRPr="0039474D">
        <w:rPr>
          <w:rFonts w:ascii="Times New Roman" w:eastAsia="Times New Roman" w:hAnsi="Times New Roman" w:cs="Times New Roman"/>
          <w:sz w:val="24"/>
          <w:szCs w:val="24"/>
          <w:lang w:eastAsia="pl-PL"/>
        </w:rPr>
        <w:t>n</w:t>
      </w:r>
      <w:r w:rsidRPr="0039474D">
        <w:rPr>
          <w:rFonts w:ascii="Times New Roman" w:eastAsia="Times New Roman" w:hAnsi="Times New Roman" w:cs="Times New Roman"/>
          <w:sz w:val="24"/>
          <w:szCs w:val="24"/>
          <w:lang w:eastAsia="pl-PL"/>
        </w:rPr>
        <w:t>sowania dopłat do oprocentowania</w:t>
      </w:r>
      <w:r w:rsidR="00C574EF" w:rsidRPr="0039474D">
        <w:rPr>
          <w:rStyle w:val="Odwoanieprzypisudolnego"/>
          <w:rFonts w:ascii="Times New Roman" w:eastAsia="Times New Roman" w:hAnsi="Times New Roman" w:cs="Times New Roman"/>
          <w:sz w:val="24"/>
          <w:szCs w:val="24"/>
          <w:lang w:eastAsia="pl-PL"/>
        </w:rPr>
        <w:footnoteReference w:id="7"/>
      </w:r>
      <w:r w:rsidR="00027895" w:rsidRPr="0039474D">
        <w:rPr>
          <w:rFonts w:ascii="Times New Roman" w:eastAsia="Times New Roman" w:hAnsi="Times New Roman" w:cs="Times New Roman"/>
          <w:sz w:val="24"/>
          <w:szCs w:val="24"/>
          <w:vertAlign w:val="superscript"/>
          <w:lang w:eastAsia="pl-PL"/>
        </w:rPr>
        <w:t>)</w:t>
      </w:r>
      <w:r w:rsidR="000275D1" w:rsidRPr="0039474D">
        <w:rPr>
          <w:rFonts w:ascii="Times New Roman" w:eastAsia="Times New Roman" w:hAnsi="Times New Roman" w:cs="Times New Roman"/>
          <w:sz w:val="24"/>
          <w:szCs w:val="24"/>
          <w:lang w:eastAsia="pl-PL"/>
        </w:rPr>
        <w:t xml:space="preserve">, </w:t>
      </w:r>
      <w:r w:rsidR="004635F5" w:rsidRPr="0039474D">
        <w:rPr>
          <w:rFonts w:ascii="Times New Roman" w:eastAsia="Times New Roman" w:hAnsi="Times New Roman" w:cs="Times New Roman"/>
          <w:sz w:val="24"/>
          <w:szCs w:val="24"/>
          <w:lang w:eastAsia="pl-PL"/>
        </w:rPr>
        <w:t xml:space="preserve">wraz z umową, o której mowa </w:t>
      </w:r>
      <w:r w:rsidRPr="0039474D">
        <w:rPr>
          <w:rFonts w:ascii="Times New Roman" w:eastAsia="Times New Roman" w:hAnsi="Times New Roman" w:cs="Times New Roman"/>
          <w:sz w:val="24"/>
          <w:szCs w:val="24"/>
          <w:lang w:eastAsia="pl-PL"/>
        </w:rPr>
        <w:t>w ust</w:t>
      </w:r>
      <w:r w:rsidR="004635F5" w:rsidRPr="0039474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4, </w:t>
      </w:r>
      <w:r w:rsidR="004635F5" w:rsidRPr="0039474D">
        <w:rPr>
          <w:rFonts w:ascii="Times New Roman" w:eastAsia="Times New Roman" w:hAnsi="Times New Roman" w:cs="Times New Roman"/>
          <w:sz w:val="24"/>
          <w:szCs w:val="24"/>
          <w:lang w:eastAsia="pl-PL"/>
        </w:rPr>
        <w:t>której zawarcie zapewni możliwość doprecyzowania szczegółowych zasad realizacji programu.</w:t>
      </w:r>
    </w:p>
    <w:p w:rsidR="004635F5" w:rsidRPr="0039474D" w:rsidRDefault="004635F5"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Konsekwencją projektowanych roz</w:t>
      </w:r>
      <w:r w:rsidR="00BA0360" w:rsidRPr="0039474D">
        <w:rPr>
          <w:rFonts w:ascii="Times New Roman" w:eastAsia="Times New Roman" w:hAnsi="Times New Roman" w:cs="Times New Roman"/>
          <w:sz w:val="24"/>
          <w:szCs w:val="24"/>
          <w:lang w:eastAsia="pl-PL"/>
        </w:rPr>
        <w:t>wiązań będzie również uchylenie</w:t>
      </w:r>
      <w:r w:rsidRPr="0039474D">
        <w:rPr>
          <w:rFonts w:ascii="Times New Roman" w:eastAsia="Times New Roman" w:hAnsi="Times New Roman" w:cs="Times New Roman"/>
          <w:sz w:val="24"/>
          <w:szCs w:val="24"/>
          <w:lang w:eastAsia="pl-PL"/>
        </w:rPr>
        <w:t xml:space="preserve"> dotychczasowego </w:t>
      </w:r>
      <w:r w:rsidRPr="0039474D">
        <w:rPr>
          <w:rFonts w:ascii="Times New Roman" w:eastAsia="Times New Roman" w:hAnsi="Times New Roman" w:cs="Times New Roman"/>
          <w:b/>
          <w:sz w:val="24"/>
          <w:szCs w:val="24"/>
          <w:lang w:eastAsia="pl-PL"/>
        </w:rPr>
        <w:t>art.</w:t>
      </w:r>
      <w:r w:rsidR="00F5508D">
        <w:rPr>
          <w:rFonts w:ascii="Times New Roman" w:eastAsia="Times New Roman" w:hAnsi="Times New Roman" w:cs="Times New Roman"/>
          <w:b/>
          <w:sz w:val="24"/>
          <w:szCs w:val="24"/>
          <w:lang w:eastAsia="pl-PL"/>
        </w:rPr>
        <w:t> </w:t>
      </w:r>
      <w:r w:rsidRPr="0039474D">
        <w:rPr>
          <w:rFonts w:ascii="Times New Roman" w:eastAsia="Times New Roman" w:hAnsi="Times New Roman" w:cs="Times New Roman"/>
          <w:b/>
          <w:sz w:val="24"/>
          <w:szCs w:val="24"/>
          <w:lang w:eastAsia="pl-PL"/>
        </w:rPr>
        <w:t xml:space="preserve">15d </w:t>
      </w:r>
      <w:r w:rsidRPr="0039474D">
        <w:rPr>
          <w:rFonts w:ascii="Times New Roman" w:eastAsia="Times New Roman" w:hAnsi="Times New Roman" w:cs="Times New Roman"/>
          <w:sz w:val="24"/>
          <w:szCs w:val="24"/>
          <w:lang w:eastAsia="pl-PL"/>
        </w:rPr>
        <w:t>ustawy</w:t>
      </w:r>
      <w:r w:rsidR="00155742" w:rsidRPr="0039474D">
        <w:rPr>
          <w:rFonts w:ascii="Times New Roman" w:eastAsia="Times New Roman" w:hAnsi="Times New Roman" w:cs="Times New Roman"/>
          <w:sz w:val="24"/>
          <w:szCs w:val="24"/>
          <w:lang w:eastAsia="pl-PL"/>
        </w:rPr>
        <w:t>. Przepis ten od 2009 r.</w:t>
      </w:r>
      <w:r w:rsidRPr="0039474D">
        <w:rPr>
          <w:rFonts w:ascii="Times New Roman" w:eastAsia="Times New Roman" w:hAnsi="Times New Roman" w:cs="Times New Roman"/>
          <w:sz w:val="24"/>
          <w:szCs w:val="24"/>
          <w:lang w:eastAsia="pl-PL"/>
        </w:rPr>
        <w:t xml:space="preserve"> określał formułę</w:t>
      </w:r>
      <w:r w:rsidR="00155742" w:rsidRPr="0039474D">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dofinansowywania funduszu statutowego BGK </w:t>
      </w:r>
      <w:r w:rsidR="00155742" w:rsidRPr="0039474D">
        <w:rPr>
          <w:rFonts w:ascii="Times New Roman" w:eastAsia="Times New Roman" w:hAnsi="Times New Roman" w:cs="Times New Roman"/>
          <w:sz w:val="24"/>
          <w:szCs w:val="24"/>
          <w:lang w:eastAsia="pl-PL"/>
        </w:rPr>
        <w:t xml:space="preserve">jako model </w:t>
      </w:r>
      <w:r w:rsidRPr="0039474D">
        <w:rPr>
          <w:rFonts w:ascii="Times New Roman" w:eastAsia="Times New Roman" w:hAnsi="Times New Roman" w:cs="Times New Roman"/>
          <w:sz w:val="24"/>
          <w:szCs w:val="24"/>
          <w:lang w:eastAsia="pl-PL"/>
        </w:rPr>
        <w:t>w oparciu o któr</w:t>
      </w:r>
      <w:r w:rsidR="00155742" w:rsidRPr="0039474D">
        <w:rPr>
          <w:rFonts w:ascii="Times New Roman" w:eastAsia="Times New Roman" w:hAnsi="Times New Roman" w:cs="Times New Roman"/>
          <w:sz w:val="24"/>
          <w:szCs w:val="24"/>
          <w:lang w:eastAsia="pl-PL"/>
        </w:rPr>
        <w:t>y</w:t>
      </w:r>
      <w:r w:rsidRPr="0039474D">
        <w:rPr>
          <w:rFonts w:ascii="Times New Roman" w:eastAsia="Times New Roman" w:hAnsi="Times New Roman" w:cs="Times New Roman"/>
          <w:sz w:val="24"/>
          <w:szCs w:val="24"/>
          <w:lang w:eastAsia="pl-PL"/>
        </w:rPr>
        <w:t xml:space="preserve"> ustawodawca </w:t>
      </w:r>
      <w:r w:rsidR="00BA0360" w:rsidRPr="0039474D">
        <w:rPr>
          <w:rFonts w:ascii="Times New Roman" w:eastAsia="Times New Roman" w:hAnsi="Times New Roman" w:cs="Times New Roman"/>
          <w:sz w:val="24"/>
          <w:szCs w:val="24"/>
          <w:lang w:eastAsia="pl-PL"/>
        </w:rPr>
        <w:t>zakładał realizację</w:t>
      </w:r>
      <w:r w:rsidR="00155742" w:rsidRPr="0039474D">
        <w:rPr>
          <w:rFonts w:ascii="Times New Roman" w:eastAsia="Times New Roman" w:hAnsi="Times New Roman" w:cs="Times New Roman"/>
          <w:sz w:val="24"/>
          <w:szCs w:val="24"/>
          <w:lang w:eastAsia="pl-PL"/>
        </w:rPr>
        <w:t xml:space="preserve"> rządowych programów po likwidacji KFM (schemat ten podlegał istotnym barierom implementacyjnym)</w:t>
      </w:r>
      <w:r w:rsidRPr="0039474D">
        <w:rPr>
          <w:rFonts w:ascii="Times New Roman" w:eastAsia="Times New Roman" w:hAnsi="Times New Roman" w:cs="Times New Roman"/>
          <w:sz w:val="24"/>
          <w:szCs w:val="24"/>
          <w:lang w:eastAsia="pl-PL"/>
        </w:rPr>
        <w:t xml:space="preserve">. </w:t>
      </w:r>
    </w:p>
    <w:p w:rsidR="00DD1270" w:rsidRPr="0039474D" w:rsidRDefault="00B664E3"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z w:val="24"/>
          <w:szCs w:val="24"/>
          <w:lang w:eastAsia="pl-PL"/>
        </w:rPr>
        <w:t xml:space="preserve">W konsekwencji </w:t>
      </w:r>
      <w:r w:rsidR="00B936F7" w:rsidRPr="0039474D">
        <w:rPr>
          <w:rFonts w:ascii="Times New Roman" w:eastAsia="Times New Roman" w:hAnsi="Times New Roman" w:cs="Times New Roman"/>
          <w:sz w:val="24"/>
          <w:szCs w:val="24"/>
          <w:lang w:eastAsia="pl-PL"/>
        </w:rPr>
        <w:t xml:space="preserve">wprowadzenia </w:t>
      </w:r>
      <w:r w:rsidRPr="0039474D">
        <w:rPr>
          <w:rFonts w:ascii="Times New Roman" w:eastAsia="Times New Roman" w:hAnsi="Times New Roman" w:cs="Times New Roman"/>
          <w:sz w:val="24"/>
          <w:szCs w:val="24"/>
          <w:lang w:eastAsia="pl-PL"/>
        </w:rPr>
        <w:t>zmian</w:t>
      </w:r>
      <w:r w:rsidRPr="0039474D">
        <w:rPr>
          <w:rFonts w:ascii="Times New Roman" w:eastAsia="Times New Roman" w:hAnsi="Times New Roman" w:cs="Times New Roman"/>
          <w:spacing w:val="4"/>
          <w:sz w:val="24"/>
          <w:szCs w:val="24"/>
          <w:lang w:eastAsia="pl-PL"/>
        </w:rPr>
        <w:t xml:space="preserve"> w art. 15a ustawy, </w:t>
      </w:r>
      <w:r w:rsidR="00B936F7" w:rsidRPr="0039474D">
        <w:rPr>
          <w:rFonts w:ascii="Times New Roman" w:eastAsia="Times New Roman" w:hAnsi="Times New Roman" w:cs="Times New Roman"/>
          <w:spacing w:val="4"/>
          <w:sz w:val="24"/>
          <w:szCs w:val="24"/>
          <w:lang w:eastAsia="pl-PL"/>
        </w:rPr>
        <w:t>przewidujących</w:t>
      </w:r>
      <w:r w:rsidRPr="0039474D">
        <w:rPr>
          <w:rFonts w:ascii="Times New Roman" w:eastAsia="Times New Roman" w:hAnsi="Times New Roman" w:cs="Times New Roman"/>
          <w:spacing w:val="4"/>
          <w:sz w:val="24"/>
          <w:szCs w:val="24"/>
          <w:lang w:eastAsia="pl-PL"/>
        </w:rPr>
        <w:t xml:space="preserve"> poszerzenie zakresu podmiotowego beneficjentów nowego programu o spółki gminne, niezbędn</w:t>
      </w:r>
      <w:r w:rsidR="00B379CD">
        <w:rPr>
          <w:rFonts w:ascii="Times New Roman" w:eastAsia="Times New Roman" w:hAnsi="Times New Roman" w:cs="Times New Roman"/>
          <w:spacing w:val="4"/>
          <w:sz w:val="24"/>
          <w:szCs w:val="24"/>
          <w:lang w:eastAsia="pl-PL"/>
        </w:rPr>
        <w:t>e</w:t>
      </w:r>
      <w:r w:rsidRPr="0039474D">
        <w:rPr>
          <w:rFonts w:ascii="Times New Roman" w:eastAsia="Times New Roman" w:hAnsi="Times New Roman" w:cs="Times New Roman"/>
          <w:spacing w:val="4"/>
          <w:sz w:val="24"/>
          <w:szCs w:val="24"/>
          <w:lang w:eastAsia="pl-PL"/>
        </w:rPr>
        <w:t xml:space="preserve"> staje się określenie </w:t>
      </w:r>
      <w:r w:rsidR="002311C8" w:rsidRPr="0039474D">
        <w:rPr>
          <w:rFonts w:ascii="Times New Roman" w:eastAsia="Times New Roman" w:hAnsi="Times New Roman" w:cs="Times New Roman"/>
          <w:spacing w:val="4"/>
          <w:sz w:val="24"/>
          <w:szCs w:val="24"/>
          <w:lang w:eastAsia="pl-PL"/>
        </w:rPr>
        <w:t xml:space="preserve">zasad </w:t>
      </w:r>
      <w:r w:rsidRPr="0039474D">
        <w:rPr>
          <w:rFonts w:ascii="Times New Roman" w:eastAsia="Times New Roman" w:hAnsi="Times New Roman" w:cs="Times New Roman"/>
          <w:spacing w:val="4"/>
          <w:sz w:val="24"/>
          <w:szCs w:val="24"/>
          <w:lang w:eastAsia="pl-PL"/>
        </w:rPr>
        <w:t xml:space="preserve">działania </w:t>
      </w:r>
      <w:r w:rsidR="002311C8" w:rsidRPr="0039474D">
        <w:rPr>
          <w:rFonts w:ascii="Times New Roman" w:eastAsia="Times New Roman" w:hAnsi="Times New Roman" w:cs="Times New Roman"/>
          <w:spacing w:val="4"/>
          <w:sz w:val="24"/>
          <w:szCs w:val="24"/>
          <w:lang w:eastAsia="pl-PL"/>
        </w:rPr>
        <w:t xml:space="preserve">podmiotów innych niż </w:t>
      </w:r>
      <w:r w:rsidR="00EF7B6B" w:rsidRPr="0039474D">
        <w:rPr>
          <w:rFonts w:ascii="Times New Roman" w:eastAsia="Times New Roman" w:hAnsi="Times New Roman" w:cs="Times New Roman"/>
          <w:spacing w:val="4"/>
          <w:sz w:val="24"/>
          <w:szCs w:val="24"/>
          <w:lang w:eastAsia="pl-PL"/>
        </w:rPr>
        <w:t>TBS</w:t>
      </w:r>
      <w:r w:rsidR="00C73610" w:rsidRPr="0039474D">
        <w:rPr>
          <w:rFonts w:ascii="Times New Roman" w:eastAsia="Times New Roman" w:hAnsi="Times New Roman" w:cs="Times New Roman"/>
          <w:spacing w:val="4"/>
          <w:sz w:val="24"/>
          <w:szCs w:val="24"/>
          <w:lang w:eastAsia="pl-PL"/>
        </w:rPr>
        <w:t>-y</w:t>
      </w:r>
      <w:r w:rsidR="002311C8" w:rsidRPr="0039474D">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na rynku wynajmu lokali wybudowanych z udziałem środków z programu rządowego. </w:t>
      </w:r>
      <w:r w:rsidR="002311C8" w:rsidRPr="0039474D">
        <w:rPr>
          <w:rFonts w:ascii="Times New Roman" w:eastAsia="Times New Roman" w:hAnsi="Times New Roman" w:cs="Times New Roman"/>
          <w:spacing w:val="4"/>
          <w:sz w:val="24"/>
          <w:szCs w:val="24"/>
          <w:lang w:eastAsia="pl-PL"/>
        </w:rPr>
        <w:t>Intencj</w:t>
      </w:r>
      <w:r w:rsidR="00B0445D" w:rsidRPr="0039474D">
        <w:rPr>
          <w:rFonts w:ascii="Times New Roman" w:eastAsia="Times New Roman" w:hAnsi="Times New Roman" w:cs="Times New Roman"/>
          <w:spacing w:val="4"/>
          <w:sz w:val="24"/>
          <w:szCs w:val="24"/>
          <w:lang w:eastAsia="pl-PL"/>
        </w:rPr>
        <w:t>ą</w:t>
      </w:r>
      <w:r w:rsidR="002311C8" w:rsidRPr="0039474D">
        <w:rPr>
          <w:rFonts w:ascii="Times New Roman" w:eastAsia="Times New Roman" w:hAnsi="Times New Roman" w:cs="Times New Roman"/>
          <w:spacing w:val="4"/>
          <w:sz w:val="24"/>
          <w:szCs w:val="24"/>
          <w:lang w:eastAsia="pl-PL"/>
        </w:rPr>
        <w:t xml:space="preserve"> projektodawcy jest określenie zasad tożsamych dla wszystkich podmiotów, niezależnie od formy organizacyjnej, korzystających z preferencyjnego wsparcia w ramach rządowego programu </w:t>
      </w:r>
      <w:r w:rsidR="00690763" w:rsidRPr="0039474D">
        <w:rPr>
          <w:rFonts w:ascii="Times New Roman" w:eastAsia="Times New Roman" w:hAnsi="Times New Roman" w:cs="Times New Roman"/>
          <w:spacing w:val="4"/>
          <w:sz w:val="24"/>
          <w:szCs w:val="24"/>
          <w:lang w:eastAsia="pl-PL"/>
        </w:rPr>
        <w:t>popierania budownictwa mieszkaniowego</w:t>
      </w:r>
      <w:r w:rsidR="002311C8" w:rsidRPr="0039474D">
        <w:rPr>
          <w:rFonts w:ascii="Times New Roman" w:eastAsia="Times New Roman" w:hAnsi="Times New Roman" w:cs="Times New Roman"/>
          <w:spacing w:val="4"/>
          <w:sz w:val="24"/>
          <w:szCs w:val="24"/>
          <w:lang w:eastAsia="pl-PL"/>
        </w:rPr>
        <w:t xml:space="preserve">. </w:t>
      </w:r>
      <w:r w:rsidR="00E75557" w:rsidRPr="0039474D">
        <w:rPr>
          <w:rFonts w:ascii="Times New Roman" w:eastAsia="Times New Roman" w:hAnsi="Times New Roman" w:cs="Times New Roman"/>
          <w:spacing w:val="4"/>
          <w:sz w:val="24"/>
          <w:szCs w:val="24"/>
          <w:lang w:eastAsia="pl-PL"/>
        </w:rPr>
        <w:t xml:space="preserve">W związku z </w:t>
      </w:r>
      <w:r w:rsidR="00D8334D" w:rsidRPr="0039474D">
        <w:rPr>
          <w:rFonts w:ascii="Times New Roman" w:eastAsia="Times New Roman" w:hAnsi="Times New Roman" w:cs="Times New Roman"/>
          <w:spacing w:val="4"/>
          <w:sz w:val="24"/>
          <w:szCs w:val="24"/>
          <w:lang w:eastAsia="pl-PL"/>
        </w:rPr>
        <w:t>tym</w:t>
      </w:r>
      <w:r w:rsidR="00E75557" w:rsidRPr="0039474D">
        <w:rPr>
          <w:rFonts w:ascii="Times New Roman" w:eastAsia="Times New Roman" w:hAnsi="Times New Roman" w:cs="Times New Roman"/>
          <w:spacing w:val="4"/>
          <w:sz w:val="24"/>
          <w:szCs w:val="24"/>
          <w:lang w:eastAsia="pl-PL"/>
        </w:rPr>
        <w:t xml:space="preserve"> w </w:t>
      </w:r>
      <w:r w:rsidR="00E75557" w:rsidRPr="0039474D">
        <w:rPr>
          <w:rFonts w:ascii="Times New Roman" w:eastAsia="Times New Roman" w:hAnsi="Times New Roman" w:cs="Times New Roman"/>
          <w:b/>
          <w:spacing w:val="4"/>
          <w:sz w:val="24"/>
          <w:szCs w:val="24"/>
          <w:lang w:eastAsia="pl-PL"/>
        </w:rPr>
        <w:t xml:space="preserve">art. 15e </w:t>
      </w:r>
      <w:r w:rsidR="002311C8" w:rsidRPr="0039474D">
        <w:rPr>
          <w:rFonts w:ascii="Times New Roman" w:eastAsia="Times New Roman" w:hAnsi="Times New Roman" w:cs="Times New Roman"/>
          <w:spacing w:val="4"/>
          <w:sz w:val="24"/>
          <w:szCs w:val="24"/>
          <w:lang w:eastAsia="pl-PL"/>
        </w:rPr>
        <w:t>proponuje się uchylenie</w:t>
      </w:r>
      <w:r w:rsidR="002311C8" w:rsidRPr="0039474D">
        <w:rPr>
          <w:rFonts w:ascii="Times New Roman" w:eastAsia="Times New Roman" w:hAnsi="Times New Roman" w:cs="Times New Roman"/>
          <w:b/>
          <w:spacing w:val="4"/>
          <w:sz w:val="24"/>
          <w:szCs w:val="24"/>
          <w:lang w:eastAsia="pl-PL"/>
        </w:rPr>
        <w:t xml:space="preserve"> </w:t>
      </w:r>
      <w:r w:rsidR="00E75557" w:rsidRPr="0039474D">
        <w:rPr>
          <w:rFonts w:ascii="Times New Roman" w:eastAsia="Times New Roman" w:hAnsi="Times New Roman" w:cs="Times New Roman"/>
          <w:b/>
          <w:spacing w:val="4"/>
          <w:sz w:val="24"/>
          <w:szCs w:val="24"/>
          <w:lang w:eastAsia="pl-PL"/>
        </w:rPr>
        <w:t xml:space="preserve">ust. 1 </w:t>
      </w:r>
      <w:r w:rsidR="002311C8" w:rsidRPr="0039474D">
        <w:rPr>
          <w:rFonts w:ascii="Times New Roman" w:eastAsia="Times New Roman" w:hAnsi="Times New Roman" w:cs="Times New Roman"/>
          <w:spacing w:val="4"/>
          <w:sz w:val="24"/>
          <w:szCs w:val="24"/>
          <w:lang w:eastAsia="pl-PL"/>
        </w:rPr>
        <w:t xml:space="preserve">oraz dodanie </w:t>
      </w:r>
      <w:r w:rsidR="002311C8" w:rsidRPr="0039474D">
        <w:rPr>
          <w:rFonts w:ascii="Times New Roman" w:eastAsia="Times New Roman" w:hAnsi="Times New Roman" w:cs="Times New Roman"/>
          <w:b/>
          <w:spacing w:val="4"/>
          <w:sz w:val="24"/>
          <w:szCs w:val="24"/>
          <w:lang w:eastAsia="pl-PL"/>
        </w:rPr>
        <w:t xml:space="preserve">art. </w:t>
      </w:r>
      <w:r w:rsidR="007F2F36" w:rsidRPr="0039474D">
        <w:rPr>
          <w:rFonts w:ascii="Times New Roman" w:eastAsia="Times New Roman" w:hAnsi="Times New Roman" w:cs="Times New Roman"/>
          <w:b/>
          <w:spacing w:val="4"/>
          <w:sz w:val="24"/>
          <w:szCs w:val="24"/>
          <w:lang w:eastAsia="pl-PL"/>
        </w:rPr>
        <w:t>15f</w:t>
      </w:r>
      <w:r w:rsidR="002311C8" w:rsidRPr="0039474D">
        <w:rPr>
          <w:rFonts w:ascii="Times New Roman" w:eastAsia="Times New Roman" w:hAnsi="Times New Roman" w:cs="Times New Roman"/>
          <w:b/>
          <w:spacing w:val="4"/>
          <w:sz w:val="24"/>
          <w:szCs w:val="24"/>
          <w:lang w:eastAsia="pl-PL"/>
        </w:rPr>
        <w:t xml:space="preserve">, </w:t>
      </w:r>
      <w:r w:rsidR="002311C8" w:rsidRPr="0039474D">
        <w:rPr>
          <w:rFonts w:ascii="Times New Roman" w:eastAsia="Times New Roman" w:hAnsi="Times New Roman" w:cs="Times New Roman"/>
          <w:spacing w:val="4"/>
          <w:sz w:val="24"/>
          <w:szCs w:val="24"/>
          <w:lang w:eastAsia="pl-PL"/>
        </w:rPr>
        <w:t>zgodnie z którym</w:t>
      </w:r>
      <w:r w:rsidR="002311C8" w:rsidRPr="0039474D">
        <w:rPr>
          <w:rFonts w:ascii="Times New Roman" w:eastAsia="Times New Roman" w:hAnsi="Times New Roman" w:cs="Times New Roman"/>
          <w:b/>
          <w:spacing w:val="4"/>
          <w:sz w:val="24"/>
          <w:szCs w:val="24"/>
          <w:lang w:eastAsia="pl-PL"/>
        </w:rPr>
        <w:t xml:space="preserve"> </w:t>
      </w:r>
      <w:r w:rsidR="002311C8" w:rsidRPr="0039474D">
        <w:rPr>
          <w:rFonts w:ascii="Times New Roman" w:eastAsia="Times New Roman" w:hAnsi="Times New Roman" w:cs="Times New Roman"/>
          <w:spacing w:val="4"/>
          <w:sz w:val="24"/>
          <w:szCs w:val="24"/>
          <w:lang w:eastAsia="pl-PL"/>
        </w:rPr>
        <w:t>do spółdzielni mieszkaniowych i spółek</w:t>
      </w:r>
      <w:r w:rsidR="007F2F36" w:rsidRPr="0039474D">
        <w:rPr>
          <w:rFonts w:ascii="Times New Roman" w:eastAsia="Times New Roman" w:hAnsi="Times New Roman" w:cs="Times New Roman"/>
          <w:spacing w:val="4"/>
          <w:sz w:val="24"/>
          <w:szCs w:val="24"/>
          <w:lang w:eastAsia="pl-PL"/>
        </w:rPr>
        <w:t xml:space="preserve"> gminnych</w:t>
      </w:r>
      <w:r w:rsidR="002311C8" w:rsidRPr="0039474D">
        <w:rPr>
          <w:rFonts w:ascii="Times New Roman" w:eastAsia="Times New Roman" w:hAnsi="Times New Roman" w:cs="Times New Roman"/>
          <w:spacing w:val="4"/>
          <w:sz w:val="24"/>
          <w:szCs w:val="24"/>
          <w:lang w:eastAsia="pl-PL"/>
        </w:rPr>
        <w:t xml:space="preserve">, korzystających z </w:t>
      </w:r>
      <w:r w:rsidR="002F2096" w:rsidRPr="0039474D">
        <w:rPr>
          <w:rFonts w:ascii="Times New Roman" w:eastAsia="Times New Roman" w:hAnsi="Times New Roman" w:cs="Times New Roman"/>
          <w:spacing w:val="4"/>
          <w:sz w:val="24"/>
          <w:szCs w:val="24"/>
          <w:lang w:eastAsia="pl-PL"/>
        </w:rPr>
        <w:t xml:space="preserve">finansowania </w:t>
      </w:r>
      <w:r w:rsidR="002311C8" w:rsidRPr="0039474D">
        <w:rPr>
          <w:rFonts w:ascii="Times New Roman" w:eastAsia="Times New Roman" w:hAnsi="Times New Roman" w:cs="Times New Roman"/>
          <w:spacing w:val="4"/>
          <w:sz w:val="24"/>
          <w:szCs w:val="24"/>
          <w:lang w:eastAsia="pl-PL"/>
        </w:rPr>
        <w:t xml:space="preserve">w ramach rządowego programu </w:t>
      </w:r>
      <w:r w:rsidR="00690763" w:rsidRPr="0039474D">
        <w:rPr>
          <w:rFonts w:ascii="Times New Roman" w:eastAsia="Times New Roman" w:hAnsi="Times New Roman" w:cs="Times New Roman"/>
          <w:spacing w:val="4"/>
          <w:sz w:val="24"/>
          <w:szCs w:val="24"/>
          <w:lang w:eastAsia="pl-PL"/>
        </w:rPr>
        <w:t>popierania budownictwa mieszkaniowego</w:t>
      </w:r>
      <w:r w:rsidR="002247E9">
        <w:rPr>
          <w:rFonts w:ascii="Times New Roman" w:eastAsia="Times New Roman" w:hAnsi="Times New Roman" w:cs="Times New Roman"/>
          <w:spacing w:val="4"/>
          <w:sz w:val="24"/>
          <w:szCs w:val="24"/>
          <w:lang w:eastAsia="pl-PL"/>
        </w:rPr>
        <w:t>, stosuje się przepisy art. 28–</w:t>
      </w:r>
      <w:r w:rsidR="002311C8" w:rsidRPr="0039474D">
        <w:rPr>
          <w:rFonts w:ascii="Times New Roman" w:eastAsia="Times New Roman" w:hAnsi="Times New Roman" w:cs="Times New Roman"/>
          <w:spacing w:val="4"/>
          <w:sz w:val="24"/>
          <w:szCs w:val="24"/>
          <w:lang w:eastAsia="pl-PL"/>
        </w:rPr>
        <w:t>33</w:t>
      </w:r>
      <w:r w:rsidR="002F2096" w:rsidRPr="0039474D">
        <w:rPr>
          <w:rFonts w:ascii="Times New Roman" w:eastAsia="Times New Roman" w:hAnsi="Times New Roman" w:cs="Times New Roman"/>
          <w:spacing w:val="4"/>
          <w:sz w:val="24"/>
          <w:szCs w:val="24"/>
          <w:lang w:eastAsia="pl-PL"/>
        </w:rPr>
        <w:t>.</w:t>
      </w:r>
      <w:r w:rsidR="007F2F36" w:rsidRPr="0039474D">
        <w:rPr>
          <w:rFonts w:ascii="Times New Roman" w:eastAsia="Times New Roman" w:hAnsi="Times New Roman" w:cs="Times New Roman"/>
          <w:spacing w:val="4"/>
          <w:sz w:val="24"/>
          <w:szCs w:val="24"/>
          <w:lang w:eastAsia="pl-PL"/>
        </w:rPr>
        <w:t xml:space="preserve"> </w:t>
      </w:r>
      <w:r w:rsidR="001E036A" w:rsidRPr="0039474D">
        <w:rPr>
          <w:rFonts w:ascii="Times New Roman" w:eastAsia="Times New Roman" w:hAnsi="Times New Roman" w:cs="Times New Roman"/>
          <w:spacing w:val="4"/>
          <w:sz w:val="24"/>
          <w:szCs w:val="24"/>
          <w:lang w:eastAsia="pl-PL"/>
        </w:rPr>
        <w:t>Przepisy art. 28</w:t>
      </w:r>
      <w:r w:rsidR="00B379CD">
        <w:rPr>
          <w:rFonts w:ascii="Times New Roman" w:eastAsia="Times New Roman" w:hAnsi="Times New Roman" w:cs="Times New Roman"/>
          <w:spacing w:val="4"/>
          <w:sz w:val="24"/>
          <w:szCs w:val="24"/>
          <w:lang w:eastAsia="pl-PL"/>
        </w:rPr>
        <w:t>–</w:t>
      </w:r>
      <w:r w:rsidR="001E036A" w:rsidRPr="0039474D">
        <w:rPr>
          <w:rFonts w:ascii="Times New Roman" w:eastAsia="Times New Roman" w:hAnsi="Times New Roman" w:cs="Times New Roman"/>
          <w:spacing w:val="4"/>
          <w:sz w:val="24"/>
          <w:szCs w:val="24"/>
          <w:lang w:eastAsia="pl-PL"/>
        </w:rPr>
        <w:t>33, określające zasady</w:t>
      </w:r>
      <w:r w:rsidR="00A67280" w:rsidRPr="0039474D">
        <w:rPr>
          <w:rFonts w:ascii="Times New Roman" w:eastAsia="Times New Roman" w:hAnsi="Times New Roman" w:cs="Times New Roman"/>
          <w:spacing w:val="4"/>
          <w:sz w:val="24"/>
          <w:szCs w:val="24"/>
          <w:lang w:eastAsia="pl-PL"/>
        </w:rPr>
        <w:t xml:space="preserve"> </w:t>
      </w:r>
      <w:r w:rsidR="001E036A" w:rsidRPr="0039474D">
        <w:rPr>
          <w:rFonts w:ascii="Times New Roman" w:eastAsia="Times New Roman" w:hAnsi="Times New Roman" w:cs="Times New Roman"/>
          <w:spacing w:val="4"/>
          <w:sz w:val="24"/>
          <w:szCs w:val="24"/>
          <w:lang w:eastAsia="pl-PL"/>
        </w:rPr>
        <w:t>i warunki najmu lokali, powinny być wspólne dla wszystkich podmiotów korzystających</w:t>
      </w:r>
      <w:r w:rsidR="00A67280" w:rsidRPr="0039474D">
        <w:rPr>
          <w:rFonts w:ascii="Times New Roman" w:eastAsia="Times New Roman" w:hAnsi="Times New Roman" w:cs="Times New Roman"/>
          <w:spacing w:val="4"/>
          <w:sz w:val="24"/>
          <w:szCs w:val="24"/>
          <w:lang w:eastAsia="pl-PL"/>
        </w:rPr>
        <w:t xml:space="preserve"> </w:t>
      </w:r>
      <w:r w:rsidR="001E036A" w:rsidRPr="0039474D">
        <w:rPr>
          <w:rFonts w:ascii="Times New Roman" w:eastAsia="Times New Roman" w:hAnsi="Times New Roman" w:cs="Times New Roman"/>
          <w:spacing w:val="4"/>
          <w:sz w:val="24"/>
          <w:szCs w:val="24"/>
          <w:lang w:eastAsia="pl-PL"/>
        </w:rPr>
        <w:t xml:space="preserve">z preferencyjnego finansowania przedsięwzięć inwestycyjno-budowlanych w ramach rządowego programu </w:t>
      </w:r>
      <w:r w:rsidR="00B438D9" w:rsidRPr="0039474D">
        <w:rPr>
          <w:rFonts w:ascii="Times New Roman" w:eastAsia="Times New Roman" w:hAnsi="Times New Roman" w:cs="Times New Roman"/>
          <w:spacing w:val="4"/>
          <w:sz w:val="24"/>
          <w:szCs w:val="24"/>
          <w:lang w:eastAsia="pl-PL"/>
        </w:rPr>
        <w:t>popierania</w:t>
      </w:r>
      <w:r w:rsidR="00853AF8" w:rsidRPr="0039474D">
        <w:rPr>
          <w:rFonts w:ascii="Times New Roman" w:eastAsia="Times New Roman" w:hAnsi="Times New Roman" w:cs="Times New Roman"/>
          <w:spacing w:val="4"/>
          <w:sz w:val="24"/>
          <w:szCs w:val="24"/>
          <w:lang w:eastAsia="pl-PL"/>
        </w:rPr>
        <w:t xml:space="preserve"> </w:t>
      </w:r>
      <w:r w:rsidR="00B438D9" w:rsidRPr="0039474D">
        <w:rPr>
          <w:rFonts w:ascii="Times New Roman" w:eastAsia="Times New Roman" w:hAnsi="Times New Roman" w:cs="Times New Roman"/>
          <w:spacing w:val="4"/>
          <w:sz w:val="24"/>
          <w:szCs w:val="24"/>
          <w:lang w:eastAsia="pl-PL"/>
        </w:rPr>
        <w:t>budownictwa mieszkaniowego</w:t>
      </w:r>
      <w:r w:rsidR="001E036A" w:rsidRPr="0039474D">
        <w:rPr>
          <w:rFonts w:ascii="Times New Roman" w:eastAsia="Times New Roman" w:hAnsi="Times New Roman" w:cs="Times New Roman"/>
          <w:spacing w:val="4"/>
          <w:sz w:val="24"/>
          <w:szCs w:val="24"/>
          <w:lang w:eastAsia="pl-PL"/>
        </w:rPr>
        <w:t xml:space="preserve">. </w:t>
      </w:r>
    </w:p>
    <w:p w:rsidR="00BA0360" w:rsidRPr="0039474D" w:rsidRDefault="001E036A"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Ponadto proponuje się zmianę brzmienia</w:t>
      </w:r>
      <w:r w:rsidRPr="0039474D">
        <w:rPr>
          <w:rFonts w:ascii="Times New Roman" w:eastAsia="Times New Roman" w:hAnsi="Times New Roman" w:cs="Times New Roman"/>
          <w:b/>
          <w:spacing w:val="4"/>
          <w:sz w:val="24"/>
          <w:szCs w:val="24"/>
          <w:lang w:eastAsia="pl-PL"/>
        </w:rPr>
        <w:t xml:space="preserve"> ust.</w:t>
      </w:r>
      <w:r w:rsidR="00E360DF" w:rsidRPr="0039474D">
        <w:rPr>
          <w:rFonts w:ascii="Times New Roman" w:eastAsia="Times New Roman" w:hAnsi="Times New Roman" w:cs="Times New Roman"/>
          <w:b/>
          <w:spacing w:val="4"/>
          <w:sz w:val="24"/>
          <w:szCs w:val="24"/>
          <w:lang w:eastAsia="pl-PL"/>
        </w:rPr>
        <w:t xml:space="preserve"> </w:t>
      </w:r>
      <w:r w:rsidRPr="0039474D">
        <w:rPr>
          <w:rFonts w:ascii="Times New Roman" w:eastAsia="Times New Roman" w:hAnsi="Times New Roman" w:cs="Times New Roman"/>
          <w:b/>
          <w:spacing w:val="4"/>
          <w:sz w:val="24"/>
          <w:szCs w:val="24"/>
          <w:lang w:eastAsia="pl-PL"/>
        </w:rPr>
        <w:t>2 w art. 15e</w:t>
      </w:r>
      <w:r w:rsidRPr="0039474D">
        <w:rPr>
          <w:rFonts w:ascii="Times New Roman" w:eastAsia="Times New Roman" w:hAnsi="Times New Roman" w:cs="Times New Roman"/>
          <w:spacing w:val="4"/>
          <w:sz w:val="24"/>
          <w:szCs w:val="24"/>
          <w:lang w:eastAsia="pl-PL"/>
        </w:rPr>
        <w:t xml:space="preserve"> przez wykreślenie części zdania zaczynającej się od wyrażenia „a także nie może być do nich ustanowione spółdzielcze własnościowe prawo do lokalu”. Proponowana zmiana ma na celu dostosowanie przepisów nowelizowanej ustawy do przepisów dotyczących spółdzielni mieszkaniowych.</w:t>
      </w:r>
    </w:p>
    <w:p w:rsidR="001E036A" w:rsidRPr="0039474D" w:rsidRDefault="00FE368C"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 xml:space="preserve">Kolejną zmianą jest uchylenie </w:t>
      </w:r>
      <w:r w:rsidRPr="0039474D">
        <w:rPr>
          <w:rFonts w:ascii="Times New Roman" w:eastAsia="Times New Roman" w:hAnsi="Times New Roman" w:cs="Times New Roman"/>
          <w:b/>
          <w:spacing w:val="4"/>
          <w:sz w:val="24"/>
          <w:szCs w:val="24"/>
          <w:lang w:eastAsia="pl-PL"/>
        </w:rPr>
        <w:t>ust. 3 w art. 15e</w:t>
      </w:r>
      <w:r w:rsidRPr="0039474D">
        <w:rPr>
          <w:rFonts w:ascii="Times New Roman" w:eastAsia="Times New Roman" w:hAnsi="Times New Roman" w:cs="Times New Roman"/>
          <w:spacing w:val="4"/>
          <w:sz w:val="24"/>
          <w:szCs w:val="24"/>
          <w:lang w:eastAsia="pl-PL"/>
        </w:rPr>
        <w:t xml:space="preserve">. Przepis ten stanowi, że do lokali mieszkalnych </w:t>
      </w:r>
      <w:r w:rsidR="004A6DC6" w:rsidRPr="0039474D">
        <w:rPr>
          <w:rFonts w:ascii="Times New Roman" w:eastAsia="Times New Roman" w:hAnsi="Times New Roman" w:cs="Times New Roman"/>
          <w:spacing w:val="4"/>
          <w:sz w:val="24"/>
          <w:szCs w:val="24"/>
          <w:lang w:eastAsia="pl-PL"/>
        </w:rPr>
        <w:t xml:space="preserve">wybudowanych </w:t>
      </w:r>
      <w:r w:rsidRPr="0039474D">
        <w:rPr>
          <w:rFonts w:ascii="Times New Roman" w:eastAsia="Times New Roman" w:hAnsi="Times New Roman" w:cs="Times New Roman"/>
          <w:spacing w:val="4"/>
          <w:sz w:val="24"/>
          <w:szCs w:val="24"/>
          <w:lang w:eastAsia="pl-PL"/>
        </w:rPr>
        <w:t>przy</w:t>
      </w:r>
      <w:r w:rsidR="004A6DC6" w:rsidRPr="0039474D">
        <w:rPr>
          <w:rFonts w:ascii="Times New Roman" w:eastAsia="Times New Roman" w:hAnsi="Times New Roman" w:cs="Times New Roman"/>
          <w:spacing w:val="4"/>
          <w:sz w:val="24"/>
          <w:szCs w:val="24"/>
          <w:lang w:eastAsia="pl-PL"/>
        </w:rPr>
        <w:t xml:space="preserve"> wykorzystaniu kredytu z dopłatą</w:t>
      </w:r>
      <w:r w:rsidRPr="0039474D">
        <w:rPr>
          <w:rFonts w:ascii="Times New Roman" w:eastAsia="Times New Roman" w:hAnsi="Times New Roman" w:cs="Times New Roman"/>
          <w:spacing w:val="4"/>
          <w:sz w:val="24"/>
          <w:szCs w:val="24"/>
          <w:lang w:eastAsia="pl-PL"/>
        </w:rPr>
        <w:t xml:space="preserve"> z programu rządowego nie ma zastosowania art. 29a, tj. przepis regulujący instytucję partycypacji. Osoba fizyczna może zawrzeć z towarzystwem umowę w sprawie partycypacji w kosztach </w:t>
      </w:r>
      <w:r w:rsidRPr="0039474D">
        <w:rPr>
          <w:rFonts w:ascii="Times New Roman" w:eastAsia="Times New Roman" w:hAnsi="Times New Roman" w:cs="Times New Roman"/>
          <w:spacing w:val="4"/>
          <w:sz w:val="24"/>
          <w:szCs w:val="24"/>
          <w:lang w:eastAsia="pl-PL"/>
        </w:rPr>
        <w:lastRenderedPageBreak/>
        <w:t xml:space="preserve">budowy lokalu mieszkalnego, którego będzie najemcą, wpłacając nie więcej niż 30% (po nowelizacji </w:t>
      </w:r>
      <w:r w:rsidR="006349DE" w:rsidRPr="0039474D">
        <w:rPr>
          <w:rFonts w:ascii="Times New Roman" w:eastAsia="Times New Roman" w:hAnsi="Times New Roman" w:cs="Times New Roman"/>
          <w:spacing w:val="4"/>
          <w:sz w:val="24"/>
          <w:szCs w:val="24"/>
          <w:lang w:eastAsia="pl-PL"/>
        </w:rPr>
        <w:t>–</w:t>
      </w:r>
      <w:r w:rsidR="002E328B" w:rsidRPr="0039474D">
        <w:rPr>
          <w:rFonts w:ascii="Times New Roman" w:eastAsia="Times New Roman" w:hAnsi="Times New Roman" w:cs="Times New Roman"/>
          <w:spacing w:val="4"/>
          <w:sz w:val="24"/>
          <w:szCs w:val="24"/>
          <w:lang w:eastAsia="pl-PL"/>
        </w:rPr>
        <w:t xml:space="preserve"> </w:t>
      </w:r>
      <w:r w:rsidR="00687CBB" w:rsidRPr="0039474D">
        <w:rPr>
          <w:rFonts w:ascii="Times New Roman" w:eastAsia="Times New Roman" w:hAnsi="Times New Roman" w:cs="Times New Roman"/>
          <w:spacing w:val="4"/>
          <w:sz w:val="24"/>
          <w:szCs w:val="24"/>
          <w:lang w:eastAsia="pl-PL"/>
        </w:rPr>
        <w:t>20</w:t>
      </w:r>
      <w:r w:rsidR="00B40C09" w:rsidRPr="0039474D">
        <w:rPr>
          <w:rFonts w:ascii="Times New Roman" w:eastAsia="Times New Roman" w:hAnsi="Times New Roman" w:cs="Times New Roman"/>
          <w:spacing w:val="4"/>
          <w:sz w:val="24"/>
          <w:szCs w:val="24"/>
          <w:lang w:eastAsia="pl-PL"/>
        </w:rPr>
        <w:t>%</w:t>
      </w:r>
      <w:r w:rsidRPr="0039474D">
        <w:rPr>
          <w:rFonts w:ascii="Times New Roman" w:eastAsia="Times New Roman" w:hAnsi="Times New Roman" w:cs="Times New Roman"/>
          <w:spacing w:val="4"/>
          <w:sz w:val="24"/>
          <w:szCs w:val="24"/>
          <w:lang w:eastAsia="pl-PL"/>
        </w:rPr>
        <w:t>) kosztów budowy tego lokalu, przy czym nie dotyczy to lo</w:t>
      </w:r>
      <w:r w:rsidR="004A6DC6" w:rsidRPr="0039474D">
        <w:rPr>
          <w:rFonts w:ascii="Times New Roman" w:eastAsia="Times New Roman" w:hAnsi="Times New Roman" w:cs="Times New Roman"/>
          <w:spacing w:val="4"/>
          <w:sz w:val="24"/>
          <w:szCs w:val="24"/>
          <w:lang w:eastAsia="pl-PL"/>
        </w:rPr>
        <w:t>kali wybudowanych ze wsparciem p</w:t>
      </w:r>
      <w:r w:rsidRPr="0039474D">
        <w:rPr>
          <w:rFonts w:ascii="Times New Roman" w:eastAsia="Times New Roman" w:hAnsi="Times New Roman" w:cs="Times New Roman"/>
          <w:spacing w:val="4"/>
          <w:sz w:val="24"/>
          <w:szCs w:val="24"/>
          <w:lang w:eastAsia="pl-PL"/>
        </w:rPr>
        <w:t xml:space="preserve">aństwa. Z uwagi jednak na realny wpływ uczestnictwa w kosztach budowy, w postaci wniesienia udziału finansowego ze strony najemcy, na możliwość realizacji </w:t>
      </w:r>
      <w:r w:rsidR="004A6DC6" w:rsidRPr="0039474D">
        <w:rPr>
          <w:rFonts w:ascii="Times New Roman" w:eastAsia="Times New Roman" w:hAnsi="Times New Roman" w:cs="Times New Roman"/>
          <w:spacing w:val="4"/>
          <w:sz w:val="24"/>
          <w:szCs w:val="24"/>
          <w:lang w:eastAsia="pl-PL"/>
        </w:rPr>
        <w:t>danego zadania inwestycyjnego w</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określonym rozmiarze lub standardzie, uznać należy, że umożliwienie również w tym przypadku wnoszenia partycypacji jest uzasadnione. Dzięki takiemu rozwiązaniu będzie możliwe udzielenie kredytów na większą </w:t>
      </w:r>
      <w:r w:rsidR="00B379CD">
        <w:rPr>
          <w:rFonts w:ascii="Times New Roman" w:eastAsia="Times New Roman" w:hAnsi="Times New Roman" w:cs="Times New Roman"/>
          <w:spacing w:val="4"/>
          <w:sz w:val="24"/>
          <w:szCs w:val="24"/>
          <w:lang w:eastAsia="pl-PL"/>
        </w:rPr>
        <w:t>liczbę</w:t>
      </w:r>
      <w:r w:rsidR="00B379CD" w:rsidRPr="0039474D">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inwestycji, wobec udziału przyszłych najemców w takich przedsięwzięciach. </w:t>
      </w:r>
      <w:r w:rsidR="003771CD" w:rsidRPr="0039474D">
        <w:rPr>
          <w:rFonts w:ascii="Times New Roman" w:eastAsia="Times New Roman" w:hAnsi="Times New Roman" w:cs="Times New Roman"/>
          <w:spacing w:val="4"/>
          <w:sz w:val="24"/>
          <w:szCs w:val="24"/>
          <w:lang w:eastAsia="pl-PL"/>
        </w:rPr>
        <w:t xml:space="preserve">Brak partycypacji </w:t>
      </w:r>
      <w:r w:rsidR="00B2368D" w:rsidRPr="0039474D">
        <w:rPr>
          <w:rFonts w:ascii="Times New Roman" w:eastAsia="Times New Roman" w:hAnsi="Times New Roman" w:cs="Times New Roman"/>
          <w:spacing w:val="4"/>
          <w:sz w:val="24"/>
          <w:szCs w:val="24"/>
          <w:lang w:eastAsia="pl-PL"/>
        </w:rPr>
        <w:t>najemcy jest wskazywany</w:t>
      </w:r>
      <w:r w:rsidR="001E036A" w:rsidRPr="0039474D">
        <w:rPr>
          <w:rFonts w:ascii="Times New Roman" w:eastAsia="Times New Roman" w:hAnsi="Times New Roman" w:cs="Times New Roman"/>
          <w:spacing w:val="4"/>
          <w:sz w:val="24"/>
          <w:szCs w:val="24"/>
          <w:lang w:eastAsia="pl-PL"/>
        </w:rPr>
        <w:t xml:space="preserve"> jako jedna z barier uniemożliwiających kontynuację wdrażania rządowego programu </w:t>
      </w:r>
      <w:r w:rsidR="00B438D9" w:rsidRPr="0039474D">
        <w:rPr>
          <w:rFonts w:ascii="Times New Roman" w:eastAsia="Times New Roman" w:hAnsi="Times New Roman" w:cs="Times New Roman"/>
          <w:spacing w:val="4"/>
          <w:sz w:val="24"/>
          <w:szCs w:val="24"/>
          <w:lang w:eastAsia="pl-PL"/>
        </w:rPr>
        <w:t xml:space="preserve">popierania budownictwa mieszkaniowego </w:t>
      </w:r>
      <w:r w:rsidR="001E036A" w:rsidRPr="0039474D">
        <w:rPr>
          <w:rFonts w:ascii="Times New Roman" w:eastAsia="Times New Roman" w:hAnsi="Times New Roman" w:cs="Times New Roman"/>
          <w:spacing w:val="4"/>
          <w:sz w:val="24"/>
          <w:szCs w:val="24"/>
          <w:lang w:eastAsia="pl-PL"/>
        </w:rPr>
        <w:t>po zmianach wprowadzonych do ustawy w 2009 r.</w:t>
      </w:r>
    </w:p>
    <w:p w:rsidR="00A07FB4" w:rsidRPr="0039474D" w:rsidRDefault="00AC5F62"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Rozwiązani</w:t>
      </w:r>
      <w:r w:rsidR="00DF4817" w:rsidRPr="0039474D">
        <w:rPr>
          <w:rFonts w:ascii="Times New Roman" w:eastAsia="Times New Roman" w:hAnsi="Times New Roman" w:cs="Times New Roman"/>
          <w:spacing w:val="4"/>
          <w:sz w:val="24"/>
          <w:szCs w:val="24"/>
          <w:lang w:eastAsia="pl-PL"/>
        </w:rPr>
        <w:t>e</w:t>
      </w:r>
      <w:r w:rsidRPr="0039474D">
        <w:rPr>
          <w:rFonts w:ascii="Times New Roman" w:eastAsia="Times New Roman" w:hAnsi="Times New Roman" w:cs="Times New Roman"/>
          <w:spacing w:val="4"/>
          <w:sz w:val="24"/>
          <w:szCs w:val="24"/>
          <w:lang w:eastAsia="pl-PL"/>
        </w:rPr>
        <w:t xml:space="preserve"> określone w dodany</w:t>
      </w:r>
      <w:r w:rsidR="00DF4817" w:rsidRPr="0039474D">
        <w:rPr>
          <w:rFonts w:ascii="Times New Roman" w:eastAsia="Times New Roman" w:hAnsi="Times New Roman" w:cs="Times New Roman"/>
          <w:spacing w:val="4"/>
          <w:sz w:val="24"/>
          <w:szCs w:val="24"/>
          <w:lang w:eastAsia="pl-PL"/>
        </w:rPr>
        <w:t>m</w:t>
      </w:r>
      <w:r w:rsidRPr="0039474D">
        <w:rPr>
          <w:rFonts w:ascii="Times New Roman" w:eastAsia="Times New Roman" w:hAnsi="Times New Roman" w:cs="Times New Roman"/>
          <w:spacing w:val="4"/>
          <w:sz w:val="24"/>
          <w:szCs w:val="24"/>
          <w:lang w:eastAsia="pl-PL"/>
        </w:rPr>
        <w:t xml:space="preserve"> przepis</w:t>
      </w:r>
      <w:r w:rsidR="00DF4817" w:rsidRPr="0039474D">
        <w:rPr>
          <w:rFonts w:ascii="Times New Roman" w:eastAsia="Times New Roman" w:hAnsi="Times New Roman" w:cs="Times New Roman"/>
          <w:spacing w:val="4"/>
          <w:sz w:val="24"/>
          <w:szCs w:val="24"/>
          <w:lang w:eastAsia="pl-PL"/>
        </w:rPr>
        <w:t>ie</w:t>
      </w:r>
      <w:r w:rsidRPr="0039474D">
        <w:rPr>
          <w:rFonts w:ascii="Times New Roman" w:eastAsia="Times New Roman" w:hAnsi="Times New Roman" w:cs="Times New Roman"/>
          <w:spacing w:val="4"/>
          <w:sz w:val="24"/>
          <w:szCs w:val="24"/>
          <w:lang w:eastAsia="pl-PL"/>
        </w:rPr>
        <w:t xml:space="preserve"> art. 15g </w:t>
      </w:r>
      <w:r w:rsidR="00DF4817" w:rsidRPr="0039474D">
        <w:rPr>
          <w:rFonts w:ascii="Times New Roman" w:eastAsia="Times New Roman" w:hAnsi="Times New Roman" w:cs="Times New Roman"/>
          <w:spacing w:val="4"/>
          <w:sz w:val="24"/>
          <w:szCs w:val="24"/>
          <w:lang w:eastAsia="pl-PL"/>
        </w:rPr>
        <w:t>jest</w:t>
      </w:r>
      <w:r w:rsidR="00B379CD">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k</w:t>
      </w:r>
      <w:r w:rsidR="0094136F" w:rsidRPr="0039474D">
        <w:rPr>
          <w:rFonts w:ascii="Times New Roman" w:eastAsia="Times New Roman" w:hAnsi="Times New Roman" w:cs="Times New Roman"/>
          <w:spacing w:val="4"/>
          <w:sz w:val="24"/>
          <w:szCs w:val="24"/>
          <w:lang w:eastAsia="pl-PL"/>
        </w:rPr>
        <w:t xml:space="preserve">onsekwencją </w:t>
      </w:r>
      <w:r w:rsidRPr="0039474D">
        <w:rPr>
          <w:rFonts w:ascii="Times New Roman" w:eastAsia="Times New Roman" w:hAnsi="Times New Roman" w:cs="Times New Roman"/>
          <w:spacing w:val="4"/>
          <w:sz w:val="24"/>
          <w:szCs w:val="24"/>
          <w:lang w:eastAsia="pl-PL"/>
        </w:rPr>
        <w:t xml:space="preserve">modelu wsparcia społecznego budownictwa czynszowego w oparciu o finansowanie zwrotne BGK, realizowane w ramach </w:t>
      </w:r>
      <w:r w:rsidR="00DF4817" w:rsidRPr="0039474D">
        <w:rPr>
          <w:rFonts w:ascii="Times New Roman" w:eastAsia="Times New Roman" w:hAnsi="Times New Roman" w:cs="Times New Roman"/>
          <w:spacing w:val="4"/>
          <w:sz w:val="24"/>
          <w:szCs w:val="24"/>
          <w:lang w:eastAsia="pl-PL"/>
        </w:rPr>
        <w:t>10</w:t>
      </w:r>
      <w:r w:rsidRPr="0039474D">
        <w:rPr>
          <w:rFonts w:ascii="Times New Roman" w:eastAsia="Times New Roman" w:hAnsi="Times New Roman" w:cs="Times New Roman"/>
          <w:spacing w:val="4"/>
          <w:sz w:val="24"/>
          <w:szCs w:val="24"/>
          <w:lang w:eastAsia="pl-PL"/>
        </w:rPr>
        <w:t xml:space="preserve">-letniego okresu realizacji programu. </w:t>
      </w:r>
    </w:p>
    <w:p w:rsidR="0094136F" w:rsidRPr="0039474D" w:rsidRDefault="00DF4817"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Z</w:t>
      </w:r>
      <w:r w:rsidR="00377A1F" w:rsidRPr="0039474D">
        <w:rPr>
          <w:rFonts w:ascii="Times New Roman" w:eastAsia="Times New Roman" w:hAnsi="Times New Roman" w:cs="Times New Roman"/>
          <w:spacing w:val="4"/>
          <w:sz w:val="24"/>
          <w:szCs w:val="24"/>
          <w:lang w:eastAsia="pl-PL"/>
        </w:rPr>
        <w:t xml:space="preserve"> uwagi na </w:t>
      </w:r>
      <w:r w:rsidR="00A07FB4" w:rsidRPr="0039474D">
        <w:rPr>
          <w:rFonts w:ascii="Times New Roman" w:eastAsia="Times New Roman" w:hAnsi="Times New Roman" w:cs="Times New Roman"/>
          <w:spacing w:val="4"/>
          <w:sz w:val="24"/>
          <w:szCs w:val="24"/>
          <w:lang w:eastAsia="pl-PL"/>
        </w:rPr>
        <w:t>proponowany</w:t>
      </w:r>
      <w:r w:rsidR="00377A1F" w:rsidRPr="0039474D">
        <w:rPr>
          <w:rFonts w:ascii="Times New Roman" w:eastAsia="Times New Roman" w:hAnsi="Times New Roman" w:cs="Times New Roman"/>
          <w:spacing w:val="4"/>
          <w:sz w:val="24"/>
          <w:szCs w:val="24"/>
          <w:lang w:eastAsia="pl-PL"/>
        </w:rPr>
        <w:t xml:space="preserve"> charakter</w:t>
      </w:r>
      <w:r w:rsidR="00A07FB4" w:rsidRPr="0039474D">
        <w:rPr>
          <w:rFonts w:ascii="Times New Roman" w:eastAsia="Times New Roman" w:hAnsi="Times New Roman" w:cs="Times New Roman"/>
          <w:spacing w:val="4"/>
          <w:sz w:val="24"/>
          <w:szCs w:val="24"/>
          <w:lang w:eastAsia="pl-PL"/>
        </w:rPr>
        <w:t xml:space="preserve"> programu</w:t>
      </w:r>
      <w:r w:rsidR="00377A1F" w:rsidRPr="0039474D">
        <w:rPr>
          <w:rFonts w:ascii="Times New Roman" w:eastAsia="Times New Roman" w:hAnsi="Times New Roman" w:cs="Times New Roman"/>
          <w:spacing w:val="4"/>
          <w:sz w:val="24"/>
          <w:szCs w:val="24"/>
          <w:lang w:eastAsia="pl-PL"/>
        </w:rPr>
        <w:t xml:space="preserve"> realizowanego w formule kolejnych rocznych edycji finansowania, </w:t>
      </w:r>
      <w:r w:rsidR="00377A1F" w:rsidRPr="0039474D">
        <w:rPr>
          <w:rFonts w:ascii="Times New Roman" w:eastAsia="Times New Roman" w:hAnsi="Times New Roman" w:cs="Times New Roman"/>
          <w:b/>
          <w:spacing w:val="4"/>
          <w:sz w:val="24"/>
          <w:szCs w:val="24"/>
          <w:lang w:eastAsia="pl-PL"/>
        </w:rPr>
        <w:t xml:space="preserve">w </w:t>
      </w:r>
      <w:r w:rsidR="0094136F" w:rsidRPr="0039474D">
        <w:rPr>
          <w:rFonts w:ascii="Times New Roman" w:eastAsia="Times New Roman" w:hAnsi="Times New Roman" w:cs="Times New Roman"/>
          <w:b/>
          <w:spacing w:val="4"/>
          <w:sz w:val="24"/>
          <w:szCs w:val="24"/>
          <w:lang w:eastAsia="pl-PL"/>
        </w:rPr>
        <w:t>art. 15g</w:t>
      </w:r>
      <w:r w:rsidR="0094136F" w:rsidRPr="0039474D">
        <w:rPr>
          <w:rFonts w:ascii="Times New Roman" w:eastAsia="Times New Roman" w:hAnsi="Times New Roman" w:cs="Times New Roman"/>
          <w:spacing w:val="4"/>
          <w:sz w:val="24"/>
          <w:szCs w:val="24"/>
          <w:lang w:eastAsia="pl-PL"/>
        </w:rPr>
        <w:t xml:space="preserve"> </w:t>
      </w:r>
      <w:r w:rsidR="00A07FB4" w:rsidRPr="0039474D">
        <w:rPr>
          <w:rFonts w:ascii="Times New Roman" w:eastAsia="Times New Roman" w:hAnsi="Times New Roman" w:cs="Times New Roman"/>
          <w:spacing w:val="4"/>
          <w:sz w:val="24"/>
          <w:szCs w:val="24"/>
          <w:lang w:eastAsia="pl-PL"/>
        </w:rPr>
        <w:t xml:space="preserve">proponuje się, aby </w:t>
      </w:r>
      <w:r w:rsidR="0094136F" w:rsidRPr="0039474D">
        <w:rPr>
          <w:rFonts w:ascii="Times New Roman" w:eastAsia="Times New Roman" w:hAnsi="Times New Roman" w:cs="Times New Roman"/>
          <w:spacing w:val="4"/>
          <w:sz w:val="24"/>
          <w:szCs w:val="24"/>
          <w:lang w:eastAsia="pl-PL"/>
        </w:rPr>
        <w:t xml:space="preserve">na </w:t>
      </w:r>
      <w:r w:rsidR="0094136F" w:rsidRPr="0039474D">
        <w:rPr>
          <w:rFonts w:ascii="Times New Roman" w:hAnsi="Times New Roman" w:cs="Times New Roman"/>
          <w:sz w:val="24"/>
          <w:szCs w:val="24"/>
        </w:rPr>
        <w:t>ministr</w:t>
      </w:r>
      <w:r w:rsidR="00DD2278" w:rsidRPr="0039474D">
        <w:rPr>
          <w:rFonts w:ascii="Times New Roman" w:hAnsi="Times New Roman" w:cs="Times New Roman"/>
          <w:sz w:val="24"/>
          <w:szCs w:val="24"/>
        </w:rPr>
        <w:t>ze</w:t>
      </w:r>
      <w:r w:rsidR="0094136F" w:rsidRPr="0039474D">
        <w:rPr>
          <w:rFonts w:ascii="Times New Roman" w:hAnsi="Times New Roman" w:cs="Times New Roman"/>
          <w:sz w:val="24"/>
          <w:szCs w:val="24"/>
        </w:rPr>
        <w:t xml:space="preserve"> właściw</w:t>
      </w:r>
      <w:r w:rsidR="00DD2278" w:rsidRPr="0039474D">
        <w:rPr>
          <w:rFonts w:ascii="Times New Roman" w:hAnsi="Times New Roman" w:cs="Times New Roman"/>
          <w:sz w:val="24"/>
          <w:szCs w:val="24"/>
        </w:rPr>
        <w:t>ym</w:t>
      </w:r>
      <w:r w:rsidR="0094136F" w:rsidRPr="0039474D">
        <w:rPr>
          <w:rFonts w:ascii="Times New Roman" w:hAnsi="Times New Roman" w:cs="Times New Roman"/>
          <w:sz w:val="24"/>
          <w:szCs w:val="24"/>
        </w:rPr>
        <w:t xml:space="preserve"> do spraw budownictwa, lokalnego planowania i zagospodarowania przestrzennego oraz mieszkalnictwa</w:t>
      </w:r>
      <w:r w:rsidR="00DD2278" w:rsidRPr="0039474D">
        <w:rPr>
          <w:rFonts w:ascii="Times New Roman" w:hAnsi="Times New Roman" w:cs="Times New Roman"/>
          <w:sz w:val="24"/>
          <w:szCs w:val="24"/>
        </w:rPr>
        <w:t xml:space="preserve"> spoczywał coroczny obowiązek złożenia Radzie </w:t>
      </w:r>
      <w:r w:rsidR="00DD2278" w:rsidRPr="0039474D">
        <w:rPr>
          <w:rFonts w:ascii="Times New Roman" w:hAnsi="Times New Roman" w:cs="Times New Roman"/>
          <w:spacing w:val="-4"/>
          <w:sz w:val="24"/>
          <w:szCs w:val="24"/>
        </w:rPr>
        <w:t xml:space="preserve">Ministrów sprawozdania z realizacji rządowego programu popierania budownictwa mieszkaniowego, wraz z oceną wdrażania i rekomendacjami na kolejny rok. Sprawozdanie takie byłoby składane </w:t>
      </w:r>
      <w:r w:rsidR="0094136F" w:rsidRPr="0039474D">
        <w:rPr>
          <w:rFonts w:ascii="Times New Roman" w:hAnsi="Times New Roman" w:cs="Times New Roman"/>
          <w:spacing w:val="-4"/>
          <w:sz w:val="24"/>
          <w:szCs w:val="24"/>
        </w:rPr>
        <w:t xml:space="preserve">w terminie do dnia 31 marca każdego roku, </w:t>
      </w:r>
      <w:r w:rsidR="00DD2278" w:rsidRPr="0039474D">
        <w:rPr>
          <w:rFonts w:ascii="Times New Roman" w:hAnsi="Times New Roman" w:cs="Times New Roman"/>
          <w:spacing w:val="-4"/>
          <w:sz w:val="24"/>
          <w:szCs w:val="24"/>
        </w:rPr>
        <w:t>przy uwzględnieniu okresu związanego z wdrożeniem instrumentu</w:t>
      </w:r>
      <w:r w:rsidR="00DD2278" w:rsidRPr="0039474D">
        <w:rPr>
          <w:rFonts w:ascii="Times New Roman" w:hAnsi="Times New Roman" w:cs="Times New Roman"/>
          <w:sz w:val="24"/>
          <w:szCs w:val="24"/>
        </w:rPr>
        <w:t xml:space="preserve"> wsparcia (obowiązek informacyjny </w:t>
      </w:r>
      <w:r w:rsidR="007A1544" w:rsidRPr="0039474D">
        <w:rPr>
          <w:rFonts w:ascii="Times New Roman" w:hAnsi="Times New Roman" w:cs="Times New Roman"/>
          <w:sz w:val="24"/>
          <w:szCs w:val="24"/>
        </w:rPr>
        <w:t xml:space="preserve">powstanie </w:t>
      </w:r>
      <w:r w:rsidR="0094136F" w:rsidRPr="0039474D">
        <w:rPr>
          <w:rFonts w:ascii="Times New Roman" w:hAnsi="Times New Roman" w:cs="Times New Roman"/>
          <w:sz w:val="24"/>
          <w:szCs w:val="24"/>
        </w:rPr>
        <w:t>począwszy od 2017 r.</w:t>
      </w:r>
      <w:r w:rsidR="007A1544" w:rsidRPr="0039474D">
        <w:rPr>
          <w:rFonts w:ascii="Times New Roman" w:hAnsi="Times New Roman" w:cs="Times New Roman"/>
          <w:sz w:val="24"/>
          <w:szCs w:val="24"/>
        </w:rPr>
        <w:t xml:space="preserve"> poprzez ustanowienie </w:t>
      </w:r>
      <w:r w:rsidR="007A1544" w:rsidRPr="00AC0D8C">
        <w:rPr>
          <w:rFonts w:ascii="Times New Roman" w:hAnsi="Times New Roman" w:cs="Times New Roman"/>
          <w:i/>
          <w:sz w:val="24"/>
          <w:szCs w:val="24"/>
        </w:rPr>
        <w:t>vacatio legis</w:t>
      </w:r>
      <w:r w:rsidR="007A1544" w:rsidRPr="0039474D">
        <w:rPr>
          <w:rFonts w:ascii="Times New Roman" w:hAnsi="Times New Roman" w:cs="Times New Roman"/>
          <w:sz w:val="24"/>
          <w:szCs w:val="24"/>
        </w:rPr>
        <w:t xml:space="preserve"> w przepisach końcowych – art. </w:t>
      </w:r>
      <w:r w:rsidR="00C40645" w:rsidRPr="0039474D">
        <w:rPr>
          <w:rFonts w:ascii="Times New Roman" w:hAnsi="Times New Roman" w:cs="Times New Roman"/>
          <w:sz w:val="24"/>
          <w:szCs w:val="24"/>
        </w:rPr>
        <w:t>10</w:t>
      </w:r>
      <w:r w:rsidR="00B379CD">
        <w:rPr>
          <w:rFonts w:ascii="Times New Roman" w:hAnsi="Times New Roman" w:cs="Times New Roman"/>
          <w:sz w:val="24"/>
          <w:szCs w:val="24"/>
        </w:rPr>
        <w:t xml:space="preserve"> </w:t>
      </w:r>
      <w:r w:rsidR="007A1544" w:rsidRPr="0039474D">
        <w:rPr>
          <w:rFonts w:ascii="Times New Roman" w:hAnsi="Times New Roman" w:cs="Times New Roman"/>
          <w:sz w:val="24"/>
          <w:szCs w:val="24"/>
        </w:rPr>
        <w:t>projektu ustawy</w:t>
      </w:r>
      <w:r w:rsidR="00DD2278" w:rsidRPr="0039474D">
        <w:rPr>
          <w:rFonts w:ascii="Times New Roman" w:hAnsi="Times New Roman" w:cs="Times New Roman"/>
          <w:sz w:val="24"/>
          <w:szCs w:val="24"/>
        </w:rPr>
        <w:t>).</w:t>
      </w:r>
    </w:p>
    <w:p w:rsidR="00E75557" w:rsidRPr="0039474D" w:rsidRDefault="00373018"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 xml:space="preserve">Zgodnie z przepisami ustawy z dnia 1 grudnia 1995 r. o wpłatach z zysku przez jednoosobowe spółki Skarbu </w:t>
      </w:r>
      <w:r w:rsidR="00B379CD">
        <w:rPr>
          <w:rFonts w:ascii="Times New Roman" w:eastAsia="Times New Roman" w:hAnsi="Times New Roman" w:cs="Times New Roman"/>
          <w:spacing w:val="4"/>
          <w:sz w:val="24"/>
          <w:szCs w:val="24"/>
          <w:lang w:eastAsia="pl-PL"/>
        </w:rPr>
        <w:t>P</w:t>
      </w:r>
      <w:r w:rsidRPr="0039474D">
        <w:rPr>
          <w:rFonts w:ascii="Times New Roman" w:eastAsia="Times New Roman" w:hAnsi="Times New Roman" w:cs="Times New Roman"/>
          <w:spacing w:val="4"/>
          <w:sz w:val="24"/>
          <w:szCs w:val="24"/>
          <w:lang w:eastAsia="pl-PL"/>
        </w:rPr>
        <w:t xml:space="preserve">aństwa (Dz. U. Nr 154, poz. 792, z późn. zm.), spółki, w których wszystkie akcje (udziały) są własnością Skarbu Państwa, są zobowiązane do dokonywania wpłat z zysku na rzecz budżetu państwa, w wysokości 15% zysku. </w:t>
      </w:r>
      <w:r w:rsidR="005368D3" w:rsidRPr="0039474D">
        <w:rPr>
          <w:rFonts w:ascii="Times New Roman" w:eastAsia="Times New Roman" w:hAnsi="Times New Roman" w:cs="Times New Roman"/>
          <w:spacing w:val="4"/>
          <w:sz w:val="24"/>
          <w:szCs w:val="24"/>
          <w:lang w:eastAsia="pl-PL"/>
        </w:rPr>
        <w:t xml:space="preserve">Mając na uwadze </w:t>
      </w:r>
      <w:r w:rsidRPr="0039474D">
        <w:rPr>
          <w:rFonts w:ascii="Times New Roman" w:eastAsia="Times New Roman" w:hAnsi="Times New Roman" w:cs="Times New Roman"/>
          <w:spacing w:val="4"/>
          <w:sz w:val="24"/>
          <w:szCs w:val="24"/>
          <w:lang w:eastAsia="pl-PL"/>
        </w:rPr>
        <w:t xml:space="preserve">kolizję ww. przepisów z treścią </w:t>
      </w:r>
      <w:r w:rsidRPr="0039474D">
        <w:rPr>
          <w:rFonts w:ascii="Times New Roman" w:eastAsia="Times New Roman" w:hAnsi="Times New Roman" w:cs="Times New Roman"/>
          <w:b/>
          <w:spacing w:val="4"/>
          <w:sz w:val="24"/>
          <w:szCs w:val="24"/>
          <w:lang w:eastAsia="pl-PL"/>
        </w:rPr>
        <w:t xml:space="preserve">art. 24 ust. 2 </w:t>
      </w:r>
      <w:r w:rsidRPr="0039474D">
        <w:rPr>
          <w:rFonts w:ascii="Times New Roman" w:eastAsia="Times New Roman" w:hAnsi="Times New Roman" w:cs="Times New Roman"/>
          <w:spacing w:val="4"/>
          <w:sz w:val="24"/>
          <w:szCs w:val="24"/>
          <w:lang w:eastAsia="pl-PL"/>
        </w:rPr>
        <w:t xml:space="preserve">ustawy o niektórych formach popierania budownictwa mieszkaniowego, proponuje się </w:t>
      </w:r>
      <w:r w:rsidRPr="0039474D">
        <w:rPr>
          <w:rFonts w:ascii="Times New Roman" w:eastAsia="Times New Roman" w:hAnsi="Times New Roman" w:cs="Times New Roman"/>
          <w:b/>
          <w:spacing w:val="4"/>
          <w:sz w:val="24"/>
          <w:szCs w:val="24"/>
          <w:lang w:eastAsia="pl-PL"/>
        </w:rPr>
        <w:t xml:space="preserve">dodanie po ust. 2 ust. 2a </w:t>
      </w:r>
      <w:r w:rsidRPr="0039474D">
        <w:rPr>
          <w:rFonts w:ascii="Times New Roman" w:eastAsia="Times New Roman" w:hAnsi="Times New Roman" w:cs="Times New Roman"/>
          <w:spacing w:val="4"/>
          <w:sz w:val="24"/>
          <w:szCs w:val="24"/>
          <w:lang w:eastAsia="pl-PL"/>
        </w:rPr>
        <w:t>w brzmieniu: „Do towarzystw budownictwa społecznego, w</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których 100% udziałów należy do Skarbu Państwa, ust. 2 nie stosuje się.”. </w:t>
      </w:r>
      <w:r w:rsidR="00E75557" w:rsidRPr="0039474D">
        <w:rPr>
          <w:rFonts w:ascii="Times New Roman" w:eastAsia="Times New Roman" w:hAnsi="Times New Roman" w:cs="Times New Roman"/>
          <w:spacing w:val="4"/>
          <w:sz w:val="24"/>
          <w:szCs w:val="24"/>
          <w:lang w:eastAsia="pl-PL"/>
        </w:rPr>
        <w:t>W</w:t>
      </w:r>
      <w:r w:rsidR="00E75557" w:rsidRPr="0039474D">
        <w:rPr>
          <w:rFonts w:ascii="Times New Roman" w:eastAsia="Times New Roman" w:hAnsi="Times New Roman" w:cs="Times New Roman"/>
          <w:b/>
          <w:spacing w:val="4"/>
          <w:sz w:val="24"/>
          <w:szCs w:val="24"/>
          <w:lang w:eastAsia="pl-PL"/>
        </w:rPr>
        <w:t xml:space="preserve"> art. 24 </w:t>
      </w:r>
      <w:r w:rsidR="00E75557" w:rsidRPr="0039474D">
        <w:rPr>
          <w:rFonts w:ascii="Times New Roman" w:eastAsia="Times New Roman" w:hAnsi="Times New Roman" w:cs="Times New Roman"/>
          <w:spacing w:val="4"/>
          <w:sz w:val="24"/>
          <w:szCs w:val="24"/>
          <w:lang w:eastAsia="pl-PL"/>
        </w:rPr>
        <w:t xml:space="preserve">uchyla się </w:t>
      </w:r>
      <w:r w:rsidR="00E75557" w:rsidRPr="0039474D">
        <w:rPr>
          <w:rFonts w:ascii="Times New Roman" w:eastAsia="Times New Roman" w:hAnsi="Times New Roman" w:cs="Times New Roman"/>
          <w:b/>
          <w:spacing w:val="4"/>
          <w:sz w:val="24"/>
          <w:szCs w:val="24"/>
          <w:lang w:eastAsia="pl-PL"/>
        </w:rPr>
        <w:t xml:space="preserve">ust. 3 i 3a. </w:t>
      </w:r>
      <w:r w:rsidR="00E75557" w:rsidRPr="0039474D">
        <w:rPr>
          <w:rFonts w:ascii="Times New Roman" w:eastAsia="Times New Roman" w:hAnsi="Times New Roman" w:cs="Times New Roman"/>
          <w:spacing w:val="4"/>
          <w:sz w:val="24"/>
          <w:szCs w:val="24"/>
          <w:lang w:eastAsia="pl-PL"/>
        </w:rPr>
        <w:t>Przepisy te przewidują, że:</w:t>
      </w:r>
    </w:p>
    <w:p w:rsidR="00E75557" w:rsidRPr="0039474D" w:rsidRDefault="00E75557" w:rsidP="00F5508D">
      <w:pPr>
        <w:pStyle w:val="Akapitzlist"/>
        <w:numPr>
          <w:ilvl w:val="0"/>
          <w:numId w:val="19"/>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lastRenderedPageBreak/>
        <w:t>minister właściwy do spraw budownictwa, lokalnego planowania i zagospodarowania przestrzennego oraz mieszkalnictwa, w drodze decyzji, zatwierdza albo odmawia zatwierdzenia umowy albo statutu towarzyst</w:t>
      </w:r>
      <w:r w:rsidR="008F5269" w:rsidRPr="0039474D">
        <w:rPr>
          <w:rFonts w:ascii="Times New Roman" w:eastAsia="Times New Roman" w:hAnsi="Times New Roman" w:cs="Times New Roman"/>
          <w:sz w:val="24"/>
          <w:szCs w:val="24"/>
          <w:lang w:eastAsia="pl-PL"/>
        </w:rPr>
        <w:t>wa, a także wszelkich ich zmian</w:t>
      </w:r>
      <w:r w:rsidR="00B379CD">
        <w:rPr>
          <w:rFonts w:ascii="Times New Roman" w:eastAsia="Times New Roman" w:hAnsi="Times New Roman" w:cs="Times New Roman"/>
          <w:sz w:val="24"/>
          <w:szCs w:val="24"/>
          <w:lang w:eastAsia="pl-PL"/>
        </w:rPr>
        <w:t>,</w:t>
      </w:r>
    </w:p>
    <w:p w:rsidR="00E75557" w:rsidRPr="0039474D" w:rsidRDefault="00E75557" w:rsidP="00F5508D">
      <w:pPr>
        <w:pStyle w:val="Akapitzlist"/>
        <w:numPr>
          <w:ilvl w:val="0"/>
          <w:numId w:val="19"/>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nie później niż w terminie 14 dni po upływie 4 lat od dnia pierwszego zatwierdzenia statutu lub umowy spółki towarzystwo jest obowiązane poinformować n</w:t>
      </w:r>
      <w:r w:rsidR="008F5269" w:rsidRPr="0039474D">
        <w:rPr>
          <w:rFonts w:ascii="Times New Roman" w:eastAsia="Times New Roman" w:hAnsi="Times New Roman" w:cs="Times New Roman"/>
          <w:sz w:val="24"/>
          <w:szCs w:val="24"/>
          <w:lang w:eastAsia="pl-PL"/>
        </w:rPr>
        <w:t>a piśmie ministra właściwego do</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spraw budownictwa, lokalnego planowania i zagospodarowania przestrzennego oraz mieszkalnictwa o tym, czy rozpoczęło wynajem stanowiących jego w</w:t>
      </w:r>
      <w:r w:rsidR="008F5269" w:rsidRPr="0039474D">
        <w:rPr>
          <w:rFonts w:ascii="Times New Roman" w:eastAsia="Times New Roman" w:hAnsi="Times New Roman" w:cs="Times New Roman"/>
          <w:sz w:val="24"/>
          <w:szCs w:val="24"/>
          <w:lang w:eastAsia="pl-PL"/>
        </w:rPr>
        <w:t>łasność lokali mieszkalnych, na</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zasadach określonych w ustawie.</w:t>
      </w:r>
    </w:p>
    <w:p w:rsidR="00E75557" w:rsidRPr="0039474D" w:rsidRDefault="00E75557"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 xml:space="preserve">Projektowane uchylenie tych przepisów jest zmianą o charakterze systemowym. Z uwagi na fakt, że </w:t>
      </w:r>
      <w:r w:rsidR="00D06F6F" w:rsidRPr="0039474D">
        <w:rPr>
          <w:rFonts w:ascii="Times New Roman" w:eastAsia="Times New Roman" w:hAnsi="Times New Roman" w:cs="Times New Roman"/>
          <w:spacing w:val="4"/>
          <w:sz w:val="24"/>
          <w:szCs w:val="24"/>
          <w:lang w:eastAsia="pl-PL"/>
        </w:rPr>
        <w:t>TBS</w:t>
      </w:r>
      <w:r w:rsidR="00480349" w:rsidRPr="0039474D">
        <w:rPr>
          <w:rFonts w:ascii="Times New Roman" w:eastAsia="Times New Roman" w:hAnsi="Times New Roman" w:cs="Times New Roman"/>
          <w:spacing w:val="4"/>
          <w:sz w:val="24"/>
          <w:szCs w:val="24"/>
          <w:lang w:eastAsia="pl-PL"/>
        </w:rPr>
        <w:t>-y</w:t>
      </w:r>
      <w:r w:rsidRPr="0039474D">
        <w:rPr>
          <w:rFonts w:ascii="Times New Roman" w:eastAsia="Times New Roman" w:hAnsi="Times New Roman" w:cs="Times New Roman"/>
          <w:spacing w:val="4"/>
          <w:sz w:val="24"/>
          <w:szCs w:val="24"/>
          <w:lang w:eastAsia="pl-PL"/>
        </w:rPr>
        <w:t xml:space="preserve"> działają w formie spółek z ograniczoną odpowiedzialnością, spółek akcyjnych i spółdzielni osób pra</w:t>
      </w:r>
      <w:r w:rsidR="008F5269" w:rsidRPr="0039474D">
        <w:rPr>
          <w:rFonts w:ascii="Times New Roman" w:eastAsia="Times New Roman" w:hAnsi="Times New Roman" w:cs="Times New Roman"/>
          <w:spacing w:val="4"/>
          <w:sz w:val="24"/>
          <w:szCs w:val="24"/>
          <w:lang w:eastAsia="pl-PL"/>
        </w:rPr>
        <w:t>wnych, podlegają one wpisowi do</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Krajowego Rejestru Sądowego. Zgodnie z art. 9 ust. 3 ustawy z dn</w:t>
      </w:r>
      <w:r w:rsidR="008F5269" w:rsidRPr="0039474D">
        <w:rPr>
          <w:rFonts w:ascii="Times New Roman" w:eastAsia="Times New Roman" w:hAnsi="Times New Roman" w:cs="Times New Roman"/>
          <w:spacing w:val="4"/>
          <w:sz w:val="24"/>
          <w:szCs w:val="24"/>
          <w:lang w:eastAsia="pl-PL"/>
        </w:rPr>
        <w:t>ia 20 sierpnia 1997 r. o</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Krajowym Rejestrze Sądowym (Dz. U. z 2013 r. poz. 1203, z </w:t>
      </w:r>
      <w:proofErr w:type="spellStart"/>
      <w:r w:rsidRPr="0039474D">
        <w:rPr>
          <w:rFonts w:ascii="Times New Roman" w:eastAsia="Times New Roman" w:hAnsi="Times New Roman" w:cs="Times New Roman"/>
          <w:spacing w:val="4"/>
          <w:sz w:val="24"/>
          <w:szCs w:val="24"/>
          <w:lang w:eastAsia="pl-PL"/>
        </w:rPr>
        <w:t>późń</w:t>
      </w:r>
      <w:proofErr w:type="spellEnd"/>
      <w:r w:rsidRPr="0039474D">
        <w:rPr>
          <w:rFonts w:ascii="Times New Roman" w:eastAsia="Times New Roman" w:hAnsi="Times New Roman" w:cs="Times New Roman"/>
          <w:spacing w:val="4"/>
          <w:sz w:val="24"/>
          <w:szCs w:val="24"/>
          <w:lang w:eastAsia="pl-PL"/>
        </w:rPr>
        <w:t>. zm.), jeżeli podmiot wpisywany do Rejestru działa na podstawie umowy lub statutu, do wniosku o jego wpisanie dołącza się umowę lub statut. Z kolei w art. 9 ust. 4 ustawy określono, że do wniosku o wpis podmiotu do Rejestru, wniosku dotyczącego zmiany umowy lu</w:t>
      </w:r>
      <w:r w:rsidR="008F5269" w:rsidRPr="0039474D">
        <w:rPr>
          <w:rFonts w:ascii="Times New Roman" w:eastAsia="Times New Roman" w:hAnsi="Times New Roman" w:cs="Times New Roman"/>
          <w:spacing w:val="4"/>
          <w:sz w:val="24"/>
          <w:szCs w:val="24"/>
          <w:lang w:eastAsia="pl-PL"/>
        </w:rPr>
        <w:t>b statutu podmiotu wpisanego do</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Rejestru, działającego na podstawie umowy lub statutu, dołącza się także tekst jednolity umowy lub statutu, z uwzględnieniem wprowadzonych zmian. Najistotniejszy jest jednak przepis art. 23 ust. 1 ustawy stanowiący, że sąd rejestrowy bada, czy dołączone do wniosku dokumenty są zgodne pod względem formy i treści z przepisami prawa. Z tego też względu dokonywanie oceny przez organ administracji przedłożonych umów albo statutów </w:t>
      </w:r>
      <w:r w:rsidR="00D06F6F" w:rsidRPr="0039474D">
        <w:rPr>
          <w:rFonts w:ascii="Times New Roman" w:eastAsia="Times New Roman" w:hAnsi="Times New Roman" w:cs="Times New Roman"/>
          <w:spacing w:val="4"/>
          <w:sz w:val="24"/>
          <w:szCs w:val="24"/>
          <w:lang w:eastAsia="pl-PL"/>
        </w:rPr>
        <w:t>TBS</w:t>
      </w:r>
      <w:r w:rsidR="00480349" w:rsidRPr="0039474D">
        <w:rPr>
          <w:rFonts w:ascii="Times New Roman" w:eastAsia="Times New Roman" w:hAnsi="Times New Roman" w:cs="Times New Roman"/>
          <w:spacing w:val="4"/>
          <w:sz w:val="24"/>
          <w:szCs w:val="24"/>
          <w:lang w:eastAsia="pl-PL"/>
        </w:rPr>
        <w:t>-ów</w:t>
      </w:r>
      <w:r w:rsidRPr="0039474D">
        <w:rPr>
          <w:rFonts w:ascii="Times New Roman" w:eastAsia="Times New Roman" w:hAnsi="Times New Roman" w:cs="Times New Roman"/>
          <w:spacing w:val="4"/>
          <w:sz w:val="24"/>
          <w:szCs w:val="24"/>
          <w:lang w:eastAsia="pl-PL"/>
        </w:rPr>
        <w:t xml:space="preserve"> nie znajduje uzasadnienia. Wobec braku uznaniowości przy b</w:t>
      </w:r>
      <w:r w:rsidR="008F5269" w:rsidRPr="0039474D">
        <w:rPr>
          <w:rFonts w:ascii="Times New Roman" w:eastAsia="Times New Roman" w:hAnsi="Times New Roman" w:cs="Times New Roman"/>
          <w:spacing w:val="4"/>
          <w:sz w:val="24"/>
          <w:szCs w:val="24"/>
          <w:lang w:eastAsia="pl-PL"/>
        </w:rPr>
        <w:t>adaniu aktów założycielskich TBS</w:t>
      </w:r>
      <w:r w:rsidRPr="0039474D">
        <w:rPr>
          <w:rFonts w:ascii="Times New Roman" w:eastAsia="Times New Roman" w:hAnsi="Times New Roman" w:cs="Times New Roman"/>
          <w:spacing w:val="4"/>
          <w:sz w:val="24"/>
          <w:szCs w:val="24"/>
          <w:lang w:eastAsia="pl-PL"/>
        </w:rPr>
        <w:t>-ów, działania organu sprowadzają się do tych sa</w:t>
      </w:r>
      <w:r w:rsidR="00284984" w:rsidRPr="0039474D">
        <w:rPr>
          <w:rFonts w:ascii="Times New Roman" w:eastAsia="Times New Roman" w:hAnsi="Times New Roman" w:cs="Times New Roman"/>
          <w:spacing w:val="4"/>
          <w:sz w:val="24"/>
          <w:szCs w:val="24"/>
          <w:lang w:eastAsia="pl-PL"/>
        </w:rPr>
        <w:t>mych czynności</w:t>
      </w:r>
      <w:r w:rsidR="00B379CD">
        <w:rPr>
          <w:rFonts w:ascii="Times New Roman" w:eastAsia="Times New Roman" w:hAnsi="Times New Roman" w:cs="Times New Roman"/>
          <w:spacing w:val="4"/>
          <w:sz w:val="24"/>
          <w:szCs w:val="24"/>
          <w:lang w:eastAsia="pl-PL"/>
        </w:rPr>
        <w:t>,</w:t>
      </w:r>
      <w:r w:rsidR="00284984" w:rsidRPr="0039474D">
        <w:rPr>
          <w:rFonts w:ascii="Times New Roman" w:eastAsia="Times New Roman" w:hAnsi="Times New Roman" w:cs="Times New Roman"/>
          <w:spacing w:val="4"/>
          <w:sz w:val="24"/>
          <w:szCs w:val="24"/>
          <w:lang w:eastAsia="pl-PL"/>
        </w:rPr>
        <w:t xml:space="preserve"> jakie wykonuje są</w:t>
      </w:r>
      <w:r w:rsidRPr="0039474D">
        <w:rPr>
          <w:rFonts w:ascii="Times New Roman" w:eastAsia="Times New Roman" w:hAnsi="Times New Roman" w:cs="Times New Roman"/>
          <w:spacing w:val="4"/>
          <w:sz w:val="24"/>
          <w:szCs w:val="24"/>
          <w:lang w:eastAsia="pl-PL"/>
        </w:rPr>
        <w:t>d rejestrowy, tj. zbadania zgodności umów i statutów z przepisami prawa. Likwidacja konieczności zatwierdzania w drodze decyzji umów albo statutów pr</w:t>
      </w:r>
      <w:r w:rsidR="008F5269" w:rsidRPr="0039474D">
        <w:rPr>
          <w:rFonts w:ascii="Times New Roman" w:eastAsia="Times New Roman" w:hAnsi="Times New Roman" w:cs="Times New Roman"/>
          <w:spacing w:val="4"/>
          <w:sz w:val="24"/>
          <w:szCs w:val="24"/>
          <w:lang w:eastAsia="pl-PL"/>
        </w:rPr>
        <w:t>zyspieszy proces rejestracji TBS</w:t>
      </w:r>
      <w:r w:rsidRPr="0039474D">
        <w:rPr>
          <w:rFonts w:ascii="Times New Roman" w:eastAsia="Times New Roman" w:hAnsi="Times New Roman" w:cs="Times New Roman"/>
          <w:spacing w:val="4"/>
          <w:sz w:val="24"/>
          <w:szCs w:val="24"/>
          <w:lang w:eastAsia="pl-PL"/>
        </w:rPr>
        <w:t>-</w:t>
      </w:r>
      <w:r w:rsidR="00480349" w:rsidRPr="0039474D">
        <w:rPr>
          <w:rFonts w:ascii="Times New Roman" w:eastAsia="Times New Roman" w:hAnsi="Times New Roman" w:cs="Times New Roman"/>
          <w:spacing w:val="4"/>
          <w:sz w:val="24"/>
          <w:szCs w:val="24"/>
          <w:lang w:eastAsia="pl-PL"/>
        </w:rPr>
        <w:t>ów</w:t>
      </w:r>
      <w:r w:rsidRPr="0039474D">
        <w:rPr>
          <w:rFonts w:ascii="Times New Roman" w:eastAsia="Times New Roman" w:hAnsi="Times New Roman" w:cs="Times New Roman"/>
          <w:spacing w:val="4"/>
          <w:sz w:val="24"/>
          <w:szCs w:val="24"/>
          <w:lang w:eastAsia="pl-PL"/>
        </w:rPr>
        <w:t xml:space="preserve">, jak również zmniejszy </w:t>
      </w:r>
      <w:r w:rsidR="003771CD" w:rsidRPr="0039474D">
        <w:rPr>
          <w:rFonts w:ascii="Times New Roman" w:eastAsia="Times New Roman" w:hAnsi="Times New Roman" w:cs="Times New Roman"/>
          <w:spacing w:val="4"/>
          <w:sz w:val="24"/>
          <w:szCs w:val="24"/>
          <w:lang w:eastAsia="pl-PL"/>
        </w:rPr>
        <w:t>obciążenia administracyjne</w:t>
      </w:r>
      <w:r w:rsidRPr="0039474D">
        <w:rPr>
          <w:rFonts w:ascii="Times New Roman" w:eastAsia="Times New Roman" w:hAnsi="Times New Roman" w:cs="Times New Roman"/>
          <w:spacing w:val="4"/>
          <w:sz w:val="24"/>
          <w:szCs w:val="24"/>
          <w:lang w:eastAsia="pl-PL"/>
        </w:rPr>
        <w:t xml:space="preserve"> w tym zakresie.</w:t>
      </w:r>
    </w:p>
    <w:p w:rsidR="00CA49D7" w:rsidRPr="0039474D" w:rsidRDefault="00E75557"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Konsekwencją rezygnacji z administracyjnego tr</w:t>
      </w:r>
      <w:r w:rsidR="008F5269" w:rsidRPr="0039474D">
        <w:rPr>
          <w:rFonts w:ascii="Times New Roman" w:eastAsia="Times New Roman" w:hAnsi="Times New Roman" w:cs="Times New Roman"/>
          <w:spacing w:val="4"/>
          <w:sz w:val="24"/>
          <w:szCs w:val="24"/>
          <w:lang w:eastAsia="pl-PL"/>
        </w:rPr>
        <w:t>ybu regulowania działalności TBS</w:t>
      </w:r>
      <w:r w:rsidRPr="0039474D">
        <w:rPr>
          <w:rFonts w:ascii="Times New Roman" w:eastAsia="Times New Roman" w:hAnsi="Times New Roman" w:cs="Times New Roman"/>
          <w:spacing w:val="4"/>
          <w:sz w:val="24"/>
          <w:szCs w:val="24"/>
          <w:lang w:eastAsia="pl-PL"/>
        </w:rPr>
        <w:t>-ów jest również uchylenie</w:t>
      </w:r>
      <w:r w:rsidR="00D971AC" w:rsidRPr="0039474D">
        <w:rPr>
          <w:rFonts w:ascii="Times New Roman" w:eastAsia="Times New Roman" w:hAnsi="Times New Roman" w:cs="Times New Roman"/>
          <w:spacing w:val="4"/>
          <w:sz w:val="24"/>
          <w:szCs w:val="24"/>
          <w:lang w:eastAsia="pl-PL"/>
        </w:rPr>
        <w:t xml:space="preserve"> </w:t>
      </w:r>
      <w:r w:rsidR="001C2951" w:rsidRPr="0039474D">
        <w:rPr>
          <w:rFonts w:ascii="Times New Roman" w:eastAsia="Times New Roman" w:hAnsi="Times New Roman" w:cs="Times New Roman"/>
          <w:spacing w:val="4"/>
          <w:sz w:val="24"/>
          <w:szCs w:val="24"/>
          <w:lang w:eastAsia="pl-PL"/>
        </w:rPr>
        <w:t xml:space="preserve">w </w:t>
      </w:r>
      <w:r w:rsidR="001C2951" w:rsidRPr="0039474D">
        <w:rPr>
          <w:rFonts w:ascii="Times New Roman" w:eastAsia="Times New Roman" w:hAnsi="Times New Roman" w:cs="Times New Roman"/>
          <w:b/>
          <w:spacing w:val="4"/>
          <w:sz w:val="24"/>
          <w:szCs w:val="24"/>
          <w:lang w:eastAsia="pl-PL"/>
        </w:rPr>
        <w:t>art. 26 ust. 3</w:t>
      </w:r>
      <w:r w:rsidR="00B379CD">
        <w:rPr>
          <w:rFonts w:ascii="Times New Roman" w:eastAsia="Times New Roman" w:hAnsi="Times New Roman" w:cs="Times New Roman"/>
          <w:b/>
          <w:spacing w:val="4"/>
          <w:sz w:val="24"/>
          <w:szCs w:val="24"/>
          <w:lang w:eastAsia="pl-PL"/>
        </w:rPr>
        <w:t>,</w:t>
      </w:r>
      <w:r w:rsidR="001C2951" w:rsidRPr="0039474D">
        <w:rPr>
          <w:rFonts w:ascii="Times New Roman" w:eastAsia="Times New Roman" w:hAnsi="Times New Roman" w:cs="Times New Roman"/>
          <w:spacing w:val="4"/>
          <w:sz w:val="24"/>
          <w:szCs w:val="24"/>
          <w:lang w:eastAsia="pl-PL"/>
        </w:rPr>
        <w:t xml:space="preserve"> zgodnie z którym minister właściwy do spraw budownictwa, lokalnego planowania i</w:t>
      </w:r>
      <w:r w:rsidR="00F749A5">
        <w:rPr>
          <w:rFonts w:ascii="Times New Roman" w:eastAsia="Times New Roman" w:hAnsi="Times New Roman" w:cs="Times New Roman"/>
          <w:spacing w:val="4"/>
          <w:sz w:val="24"/>
          <w:szCs w:val="24"/>
          <w:lang w:eastAsia="pl-PL"/>
        </w:rPr>
        <w:t xml:space="preserve"> </w:t>
      </w:r>
      <w:r w:rsidR="001C2951" w:rsidRPr="0039474D">
        <w:rPr>
          <w:rFonts w:ascii="Times New Roman" w:eastAsia="Times New Roman" w:hAnsi="Times New Roman" w:cs="Times New Roman"/>
          <w:spacing w:val="4"/>
          <w:sz w:val="24"/>
          <w:szCs w:val="24"/>
          <w:lang w:eastAsia="pl-PL"/>
        </w:rPr>
        <w:t xml:space="preserve">zagospodarowania przestrzennego oraz mieszkalnictwa może wydać decyzję pozbawiającą towarzystwo prawa używania w nazwie wyrazów „towarzystwo budownictwa społecznego” oraz skrótu „TBS”, jeżeli w okresie 4 lat od dnia pierwszego zatwierdzenia statutu lub umowy spółki nie rozpoczęło </w:t>
      </w:r>
      <w:r w:rsidR="001C2951" w:rsidRPr="0039474D">
        <w:rPr>
          <w:rFonts w:ascii="Times New Roman" w:eastAsia="Times New Roman" w:hAnsi="Times New Roman" w:cs="Times New Roman"/>
          <w:spacing w:val="4"/>
          <w:sz w:val="24"/>
          <w:szCs w:val="24"/>
          <w:lang w:eastAsia="pl-PL"/>
        </w:rPr>
        <w:lastRenderedPageBreak/>
        <w:t>ono wynajmu stanowiących jego własność lokali mieszkalnych na zasadach określonych w ustawie, a także w przypadku niedopełnienia przez towarzystwo obowiązku, o którym mowa w</w:t>
      </w:r>
      <w:r w:rsidR="00F749A5">
        <w:rPr>
          <w:rFonts w:ascii="Times New Roman" w:eastAsia="Times New Roman" w:hAnsi="Times New Roman" w:cs="Times New Roman"/>
          <w:spacing w:val="4"/>
          <w:sz w:val="24"/>
          <w:szCs w:val="24"/>
          <w:lang w:eastAsia="pl-PL"/>
        </w:rPr>
        <w:t xml:space="preserve"> </w:t>
      </w:r>
      <w:r w:rsidR="001C2951" w:rsidRPr="0039474D">
        <w:rPr>
          <w:rFonts w:ascii="Times New Roman" w:eastAsia="Times New Roman" w:hAnsi="Times New Roman" w:cs="Times New Roman"/>
          <w:spacing w:val="4"/>
          <w:sz w:val="24"/>
          <w:szCs w:val="24"/>
          <w:lang w:eastAsia="pl-PL"/>
        </w:rPr>
        <w:t>art. 24 ust. 3a.</w:t>
      </w:r>
      <w:r w:rsidR="00F749A5">
        <w:rPr>
          <w:rFonts w:ascii="Times New Roman" w:eastAsia="Times New Roman" w:hAnsi="Times New Roman" w:cs="Times New Roman"/>
          <w:spacing w:val="4"/>
          <w:sz w:val="24"/>
          <w:szCs w:val="24"/>
          <w:lang w:eastAsia="pl-PL"/>
        </w:rPr>
        <w:t xml:space="preserve"> </w:t>
      </w:r>
      <w:r w:rsidR="001C2951" w:rsidRPr="0039474D">
        <w:rPr>
          <w:rFonts w:ascii="Times New Roman" w:eastAsia="Times New Roman" w:hAnsi="Times New Roman" w:cs="Times New Roman"/>
          <w:spacing w:val="4"/>
          <w:sz w:val="24"/>
          <w:szCs w:val="24"/>
          <w:lang w:eastAsia="pl-PL"/>
        </w:rPr>
        <w:t>Mając na uwadze, że przed dniem wejścia w życie projektowanych przepisów może nie zostać zakończona część postępowań prowadzonych na podstawie art. 24 ust. 3 oraz art. 26 ust. 3</w:t>
      </w:r>
      <w:r w:rsidR="003018FE" w:rsidRPr="0039474D">
        <w:rPr>
          <w:rFonts w:ascii="Times New Roman" w:eastAsia="Times New Roman" w:hAnsi="Times New Roman" w:cs="Times New Roman"/>
          <w:spacing w:val="4"/>
          <w:sz w:val="24"/>
          <w:szCs w:val="24"/>
          <w:lang w:eastAsia="pl-PL"/>
        </w:rPr>
        <w:t xml:space="preserve"> ustawy</w:t>
      </w:r>
      <w:r w:rsidR="001C2951" w:rsidRPr="0039474D">
        <w:rPr>
          <w:rFonts w:ascii="Times New Roman" w:eastAsia="Times New Roman" w:hAnsi="Times New Roman" w:cs="Times New Roman"/>
          <w:spacing w:val="4"/>
          <w:sz w:val="24"/>
          <w:szCs w:val="24"/>
          <w:lang w:eastAsia="pl-PL"/>
        </w:rPr>
        <w:t xml:space="preserve">, w przepisach przejściowych w </w:t>
      </w:r>
      <w:r w:rsidR="000C6EDF" w:rsidRPr="0039474D">
        <w:rPr>
          <w:rFonts w:ascii="Times New Roman" w:eastAsia="Times New Roman" w:hAnsi="Times New Roman" w:cs="Times New Roman"/>
          <w:b/>
          <w:spacing w:val="4"/>
          <w:sz w:val="24"/>
          <w:szCs w:val="24"/>
          <w:lang w:eastAsia="pl-PL"/>
        </w:rPr>
        <w:t>art. 5</w:t>
      </w:r>
      <w:r w:rsidR="001C2951" w:rsidRPr="0039474D">
        <w:rPr>
          <w:rFonts w:ascii="Times New Roman" w:eastAsia="Times New Roman" w:hAnsi="Times New Roman" w:cs="Times New Roman"/>
          <w:spacing w:val="4"/>
          <w:sz w:val="24"/>
          <w:szCs w:val="24"/>
          <w:lang w:eastAsia="pl-PL"/>
        </w:rPr>
        <w:t xml:space="preserve"> zapisana została norma, zgodnie z którą </w:t>
      </w:r>
      <w:r w:rsidR="003018FE" w:rsidRPr="0039474D">
        <w:rPr>
          <w:rFonts w:ascii="Times New Roman" w:eastAsia="Times New Roman" w:hAnsi="Times New Roman" w:cs="Times New Roman"/>
          <w:spacing w:val="4"/>
          <w:sz w:val="24"/>
          <w:szCs w:val="24"/>
          <w:lang w:eastAsia="pl-PL"/>
        </w:rPr>
        <w:t>d</w:t>
      </w:r>
      <w:r w:rsidR="001C2951" w:rsidRPr="0039474D">
        <w:rPr>
          <w:rFonts w:ascii="Times New Roman" w:eastAsia="Times New Roman" w:hAnsi="Times New Roman" w:cs="Times New Roman"/>
          <w:spacing w:val="4"/>
          <w:sz w:val="24"/>
          <w:szCs w:val="24"/>
          <w:lang w:eastAsia="pl-PL"/>
        </w:rPr>
        <w:t xml:space="preserve">o </w:t>
      </w:r>
      <w:r w:rsidR="003018FE" w:rsidRPr="0039474D">
        <w:rPr>
          <w:rFonts w:ascii="Times New Roman" w:eastAsia="Times New Roman" w:hAnsi="Times New Roman" w:cs="Times New Roman"/>
          <w:spacing w:val="4"/>
          <w:sz w:val="24"/>
          <w:szCs w:val="24"/>
          <w:lang w:eastAsia="pl-PL"/>
        </w:rPr>
        <w:t xml:space="preserve">tych </w:t>
      </w:r>
      <w:r w:rsidR="001C2951" w:rsidRPr="0039474D">
        <w:rPr>
          <w:rFonts w:ascii="Times New Roman" w:eastAsia="Times New Roman" w:hAnsi="Times New Roman" w:cs="Times New Roman"/>
          <w:spacing w:val="4"/>
          <w:sz w:val="24"/>
          <w:szCs w:val="24"/>
          <w:lang w:eastAsia="pl-PL"/>
        </w:rPr>
        <w:t>postępowań stos</w:t>
      </w:r>
      <w:r w:rsidR="003018FE" w:rsidRPr="0039474D">
        <w:rPr>
          <w:rFonts w:ascii="Times New Roman" w:eastAsia="Times New Roman" w:hAnsi="Times New Roman" w:cs="Times New Roman"/>
          <w:spacing w:val="4"/>
          <w:sz w:val="24"/>
          <w:szCs w:val="24"/>
          <w:lang w:eastAsia="pl-PL"/>
        </w:rPr>
        <w:t xml:space="preserve">ować się będzie </w:t>
      </w:r>
      <w:r w:rsidR="001C2951" w:rsidRPr="0039474D">
        <w:rPr>
          <w:rFonts w:ascii="Times New Roman" w:eastAsia="Times New Roman" w:hAnsi="Times New Roman" w:cs="Times New Roman"/>
          <w:spacing w:val="4"/>
          <w:sz w:val="24"/>
          <w:szCs w:val="24"/>
          <w:lang w:eastAsia="pl-PL"/>
        </w:rPr>
        <w:t>przepisy w brzmieniu dotychczasowym.</w:t>
      </w:r>
    </w:p>
    <w:p w:rsidR="00E75557" w:rsidRPr="0039474D" w:rsidRDefault="00E75557"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pacing w:val="4"/>
          <w:sz w:val="24"/>
          <w:szCs w:val="24"/>
          <w:lang w:eastAsia="pl-PL"/>
        </w:rPr>
        <w:t xml:space="preserve">W </w:t>
      </w:r>
      <w:r w:rsidRPr="0039474D">
        <w:rPr>
          <w:rFonts w:ascii="Times New Roman" w:eastAsia="Times New Roman" w:hAnsi="Times New Roman" w:cs="Times New Roman"/>
          <w:b/>
          <w:spacing w:val="4"/>
          <w:sz w:val="24"/>
          <w:szCs w:val="24"/>
          <w:lang w:eastAsia="pl-PL"/>
        </w:rPr>
        <w:t>art. 27</w:t>
      </w:r>
      <w:r w:rsidR="0085207E" w:rsidRPr="0039474D">
        <w:rPr>
          <w:rFonts w:ascii="Times New Roman" w:eastAsia="Times New Roman" w:hAnsi="Times New Roman" w:cs="Times New Roman"/>
          <w:spacing w:val="4"/>
          <w:sz w:val="24"/>
          <w:szCs w:val="24"/>
          <w:lang w:eastAsia="pl-PL"/>
        </w:rPr>
        <w:t xml:space="preserve"> w </w:t>
      </w:r>
      <w:r w:rsidR="0085207E" w:rsidRPr="0039474D">
        <w:rPr>
          <w:rFonts w:ascii="Times New Roman" w:eastAsia="Times New Roman" w:hAnsi="Times New Roman" w:cs="Times New Roman"/>
          <w:b/>
          <w:spacing w:val="4"/>
          <w:sz w:val="24"/>
          <w:szCs w:val="24"/>
          <w:lang w:eastAsia="pl-PL"/>
        </w:rPr>
        <w:t>ust. 2</w:t>
      </w:r>
      <w:r w:rsidR="00F34F1A" w:rsidRPr="0039474D">
        <w:rPr>
          <w:rFonts w:ascii="Times New Roman" w:eastAsia="Times New Roman" w:hAnsi="Times New Roman" w:cs="Times New Roman"/>
          <w:spacing w:val="4"/>
          <w:sz w:val="24"/>
          <w:szCs w:val="24"/>
          <w:lang w:eastAsia="pl-PL"/>
        </w:rPr>
        <w:t xml:space="preserve"> </w:t>
      </w:r>
      <w:r w:rsidR="0085207E" w:rsidRPr="0039474D">
        <w:rPr>
          <w:rFonts w:ascii="Times New Roman" w:eastAsia="Times New Roman" w:hAnsi="Times New Roman" w:cs="Times New Roman"/>
          <w:spacing w:val="4"/>
          <w:sz w:val="24"/>
          <w:szCs w:val="24"/>
          <w:lang w:eastAsia="pl-PL"/>
        </w:rPr>
        <w:t>wprowadza się</w:t>
      </w:r>
      <w:r w:rsidRPr="0039474D">
        <w:rPr>
          <w:rFonts w:ascii="Times New Roman" w:eastAsia="Times New Roman" w:hAnsi="Times New Roman" w:cs="Times New Roman"/>
          <w:spacing w:val="4"/>
          <w:sz w:val="24"/>
          <w:szCs w:val="24"/>
          <w:lang w:eastAsia="pl-PL"/>
        </w:rPr>
        <w:t xml:space="preserve"> zmiany mające na celu </w:t>
      </w:r>
      <w:r w:rsidR="00E360DF" w:rsidRPr="0039474D">
        <w:rPr>
          <w:rFonts w:ascii="Times New Roman" w:hAnsi="Times New Roman" w:cs="Times New Roman"/>
          <w:sz w:val="24"/>
          <w:szCs w:val="24"/>
        </w:rPr>
        <w:t xml:space="preserve">poprawę warunków realizacji przez </w:t>
      </w:r>
      <w:r w:rsidR="00480349" w:rsidRPr="0039474D">
        <w:rPr>
          <w:rFonts w:ascii="Times New Roman" w:hAnsi="Times New Roman" w:cs="Times New Roman"/>
          <w:sz w:val="24"/>
          <w:szCs w:val="24"/>
        </w:rPr>
        <w:t>TBS-</w:t>
      </w:r>
      <w:r w:rsidR="00E360DF" w:rsidRPr="0039474D">
        <w:rPr>
          <w:rFonts w:ascii="Times New Roman" w:hAnsi="Times New Roman" w:cs="Times New Roman"/>
          <w:sz w:val="24"/>
          <w:szCs w:val="24"/>
        </w:rPr>
        <w:t xml:space="preserve">y nowych inwestycji związanych z budową mieszkań na wynajem oraz </w:t>
      </w:r>
      <w:r w:rsidRPr="0039474D">
        <w:rPr>
          <w:rFonts w:ascii="Times New Roman" w:eastAsia="Times New Roman" w:hAnsi="Times New Roman" w:cs="Times New Roman"/>
          <w:spacing w:val="4"/>
          <w:sz w:val="24"/>
          <w:szCs w:val="24"/>
          <w:lang w:eastAsia="pl-PL"/>
        </w:rPr>
        <w:t xml:space="preserve">doprecyzowanie treści obecnie </w:t>
      </w:r>
      <w:r w:rsidRPr="0039474D">
        <w:rPr>
          <w:rFonts w:ascii="Times New Roman" w:eastAsia="Times New Roman" w:hAnsi="Times New Roman" w:cs="Times New Roman"/>
          <w:sz w:val="24"/>
          <w:szCs w:val="24"/>
          <w:lang w:eastAsia="pl-PL"/>
        </w:rPr>
        <w:t>obowiązujących przepisów</w:t>
      </w:r>
      <w:r w:rsidR="0085207E" w:rsidRPr="0039474D">
        <w:rPr>
          <w:rFonts w:ascii="Times New Roman" w:eastAsia="Times New Roman" w:hAnsi="Times New Roman" w:cs="Times New Roman"/>
          <w:sz w:val="24"/>
          <w:szCs w:val="24"/>
          <w:lang w:eastAsia="pl-PL"/>
        </w:rPr>
        <w:t>:</w:t>
      </w:r>
    </w:p>
    <w:p w:rsidR="00E360DF" w:rsidRPr="0039474D" w:rsidRDefault="00E360DF" w:rsidP="00F5508D">
      <w:pPr>
        <w:pStyle w:val="Akapitzlist"/>
        <w:numPr>
          <w:ilvl w:val="0"/>
          <w:numId w:val="21"/>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b/>
          <w:sz w:val="24"/>
          <w:szCs w:val="24"/>
          <w:lang w:eastAsia="pl-PL"/>
        </w:rPr>
        <w:t>w pkt 1</w:t>
      </w:r>
      <w:r w:rsidRPr="0039474D">
        <w:rPr>
          <w:rFonts w:ascii="Times New Roman" w:eastAsia="Times New Roman" w:hAnsi="Times New Roman" w:cs="Times New Roman"/>
          <w:sz w:val="24"/>
          <w:szCs w:val="24"/>
          <w:lang w:eastAsia="pl-PL"/>
        </w:rPr>
        <w:t xml:space="preserve"> proponuje się zmianę polegając</w:t>
      </w:r>
      <w:r w:rsidR="00B379CD">
        <w:rPr>
          <w:rFonts w:ascii="Times New Roman" w:eastAsia="Times New Roman" w:hAnsi="Times New Roman" w:cs="Times New Roman"/>
          <w:sz w:val="24"/>
          <w:szCs w:val="24"/>
          <w:lang w:eastAsia="pl-PL"/>
        </w:rPr>
        <w:t>ą</w:t>
      </w:r>
      <w:r w:rsidRPr="0039474D">
        <w:rPr>
          <w:rFonts w:ascii="Times New Roman" w:eastAsia="Times New Roman" w:hAnsi="Times New Roman" w:cs="Times New Roman"/>
          <w:sz w:val="24"/>
          <w:szCs w:val="24"/>
          <w:lang w:eastAsia="pl-PL"/>
        </w:rPr>
        <w:t xml:space="preserve"> na umożliwieniu nabycia nie tylko budynków mieszkalnych (obecne brzmienie przepisu), ale również lokali mieszkalnych</w:t>
      </w:r>
      <w:r w:rsidR="009449E4" w:rsidRPr="0039474D">
        <w:rPr>
          <w:rFonts w:ascii="Times New Roman" w:eastAsia="Times New Roman" w:hAnsi="Times New Roman" w:cs="Times New Roman"/>
          <w:sz w:val="24"/>
          <w:szCs w:val="24"/>
          <w:lang w:eastAsia="pl-PL"/>
        </w:rPr>
        <w:t xml:space="preserve"> i budynków niemieszkalnych w celu</w:t>
      </w:r>
      <w:r w:rsidR="004C5BCC" w:rsidRPr="0039474D">
        <w:rPr>
          <w:rFonts w:ascii="Times New Roman" w:eastAsia="Times New Roman" w:hAnsi="Times New Roman" w:cs="Times New Roman"/>
          <w:sz w:val="24"/>
          <w:szCs w:val="24"/>
          <w:lang w:eastAsia="pl-PL"/>
        </w:rPr>
        <w:t xml:space="preserve"> </w:t>
      </w:r>
      <w:r w:rsidR="00575418" w:rsidRPr="0039474D">
        <w:rPr>
          <w:rFonts w:ascii="Times New Roman" w:eastAsia="Times New Roman" w:hAnsi="Times New Roman" w:cs="Times New Roman"/>
          <w:sz w:val="24"/>
          <w:szCs w:val="24"/>
          <w:lang w:eastAsia="pl-PL"/>
        </w:rPr>
        <w:t>rozbudowy, nadbudowy i przebudowy</w:t>
      </w:r>
      <w:r w:rsidR="009449E4" w:rsidRPr="0039474D">
        <w:rPr>
          <w:rFonts w:ascii="Times New Roman" w:eastAsia="Times New Roman" w:hAnsi="Times New Roman" w:cs="Times New Roman"/>
          <w:sz w:val="24"/>
          <w:szCs w:val="24"/>
          <w:lang w:eastAsia="pl-PL"/>
        </w:rPr>
        <w:t>, w wyniku której powstaną lokale mieszkalne.</w:t>
      </w:r>
      <w:r w:rsidR="007C63E7" w:rsidRPr="0039474D">
        <w:rPr>
          <w:rFonts w:ascii="Times New Roman" w:eastAsia="Times New Roman" w:hAnsi="Times New Roman" w:cs="Times New Roman"/>
          <w:sz w:val="24"/>
          <w:szCs w:val="24"/>
          <w:lang w:eastAsia="pl-PL"/>
        </w:rPr>
        <w:t xml:space="preserve"> Brak w dotychczasowych przepisach</w:t>
      </w:r>
      <w:r w:rsidR="00333CEF" w:rsidRPr="0039474D">
        <w:rPr>
          <w:rFonts w:ascii="Times New Roman" w:eastAsia="Times New Roman" w:hAnsi="Times New Roman" w:cs="Times New Roman"/>
          <w:sz w:val="24"/>
          <w:szCs w:val="24"/>
          <w:lang w:eastAsia="pl-PL"/>
        </w:rPr>
        <w:t xml:space="preserve"> bezpośredniego wskazania na </w:t>
      </w:r>
      <w:r w:rsidR="007C63E7" w:rsidRPr="0039474D">
        <w:rPr>
          <w:rFonts w:ascii="Times New Roman" w:eastAsia="Times New Roman" w:hAnsi="Times New Roman" w:cs="Times New Roman"/>
          <w:sz w:val="24"/>
          <w:szCs w:val="24"/>
          <w:lang w:eastAsia="pl-PL"/>
        </w:rPr>
        <w:t>możliwoś</w:t>
      </w:r>
      <w:r w:rsidR="00333CEF" w:rsidRPr="0039474D">
        <w:rPr>
          <w:rFonts w:ascii="Times New Roman" w:eastAsia="Times New Roman" w:hAnsi="Times New Roman" w:cs="Times New Roman"/>
          <w:sz w:val="24"/>
          <w:szCs w:val="24"/>
          <w:lang w:eastAsia="pl-PL"/>
        </w:rPr>
        <w:t>ć</w:t>
      </w:r>
      <w:r w:rsidR="007C63E7" w:rsidRPr="0039474D">
        <w:rPr>
          <w:rFonts w:ascii="Times New Roman" w:eastAsia="Times New Roman" w:hAnsi="Times New Roman" w:cs="Times New Roman"/>
          <w:sz w:val="24"/>
          <w:szCs w:val="24"/>
          <w:lang w:eastAsia="pl-PL"/>
        </w:rPr>
        <w:t xml:space="preserve"> nabywania lokali mieszkalnych </w:t>
      </w:r>
      <w:r w:rsidR="00333CEF" w:rsidRPr="0039474D">
        <w:rPr>
          <w:rFonts w:ascii="Times New Roman" w:eastAsia="Times New Roman" w:hAnsi="Times New Roman" w:cs="Times New Roman"/>
          <w:sz w:val="24"/>
          <w:szCs w:val="24"/>
          <w:lang w:eastAsia="pl-PL"/>
        </w:rPr>
        <w:t xml:space="preserve">mogło powodować wątpliwości, czy inwestycje dotyczące nabycia lokalu mieszkalnego lub większej liczby lokali mieszkalnych, </w:t>
      </w:r>
      <w:r w:rsidR="0058213F" w:rsidRPr="0039474D">
        <w:rPr>
          <w:rFonts w:ascii="Times New Roman" w:eastAsia="Times New Roman" w:hAnsi="Times New Roman" w:cs="Times New Roman"/>
          <w:sz w:val="24"/>
          <w:szCs w:val="24"/>
          <w:lang w:eastAsia="pl-PL"/>
        </w:rPr>
        <w:t>a</w:t>
      </w:r>
      <w:r w:rsidR="00333CEF" w:rsidRPr="0039474D">
        <w:rPr>
          <w:rFonts w:ascii="Times New Roman" w:eastAsia="Times New Roman" w:hAnsi="Times New Roman" w:cs="Times New Roman"/>
          <w:sz w:val="24"/>
          <w:szCs w:val="24"/>
          <w:lang w:eastAsia="pl-PL"/>
        </w:rPr>
        <w:t xml:space="preserve"> nie wyłącznie budynku, mogą być przedmiotem działalności towarzystw. </w:t>
      </w:r>
      <w:r w:rsidR="009449E4" w:rsidRPr="0039474D">
        <w:rPr>
          <w:rFonts w:ascii="Times New Roman" w:eastAsia="Times New Roman" w:hAnsi="Times New Roman" w:cs="Times New Roman"/>
          <w:sz w:val="24"/>
          <w:szCs w:val="24"/>
          <w:lang w:eastAsia="pl-PL"/>
        </w:rPr>
        <w:t>Rozszerzenie katalogu o możliwość nabywania przez towarzystwa budynków niemieszkalnych jest również</w:t>
      </w:r>
      <w:r w:rsidR="00F749A5">
        <w:rPr>
          <w:rFonts w:ascii="Times New Roman" w:eastAsia="Times New Roman" w:hAnsi="Times New Roman" w:cs="Times New Roman"/>
          <w:sz w:val="24"/>
          <w:szCs w:val="24"/>
          <w:lang w:eastAsia="pl-PL"/>
        </w:rPr>
        <w:t xml:space="preserve"> </w:t>
      </w:r>
      <w:r w:rsidR="009553C8" w:rsidRPr="0039474D">
        <w:rPr>
          <w:rFonts w:ascii="Times New Roman" w:eastAsia="Times New Roman" w:hAnsi="Times New Roman" w:cs="Times New Roman"/>
          <w:sz w:val="24"/>
          <w:szCs w:val="24"/>
          <w:lang w:eastAsia="pl-PL"/>
        </w:rPr>
        <w:t>d</w:t>
      </w:r>
      <w:r w:rsidR="009449E4" w:rsidRPr="0039474D">
        <w:rPr>
          <w:rFonts w:ascii="Times New Roman" w:eastAsia="Times New Roman" w:hAnsi="Times New Roman" w:cs="Times New Roman"/>
          <w:sz w:val="24"/>
          <w:szCs w:val="24"/>
          <w:lang w:eastAsia="pl-PL"/>
        </w:rPr>
        <w:t>oprecyzowani</w:t>
      </w:r>
      <w:r w:rsidR="009553C8" w:rsidRPr="0039474D">
        <w:rPr>
          <w:rFonts w:ascii="Times New Roman" w:eastAsia="Times New Roman" w:hAnsi="Times New Roman" w:cs="Times New Roman"/>
          <w:sz w:val="24"/>
          <w:szCs w:val="24"/>
          <w:lang w:eastAsia="pl-PL"/>
        </w:rPr>
        <w:t>em</w:t>
      </w:r>
      <w:r w:rsidR="009449E4" w:rsidRPr="0039474D">
        <w:rPr>
          <w:rFonts w:ascii="Times New Roman" w:eastAsia="Times New Roman" w:hAnsi="Times New Roman" w:cs="Times New Roman"/>
          <w:sz w:val="24"/>
          <w:szCs w:val="24"/>
          <w:lang w:eastAsia="pl-PL"/>
        </w:rPr>
        <w:t xml:space="preserve"> przepisów, które mogły budzić wątpliwości towarzystw. </w:t>
      </w:r>
      <w:r w:rsidR="00333CEF" w:rsidRPr="0039474D">
        <w:rPr>
          <w:rFonts w:ascii="Times New Roman" w:eastAsia="Times New Roman" w:hAnsi="Times New Roman" w:cs="Times New Roman"/>
          <w:sz w:val="24"/>
          <w:szCs w:val="24"/>
          <w:lang w:eastAsia="pl-PL"/>
        </w:rPr>
        <w:t>Doprecyzowanie przepisów jest w ocenie projektodawcy uzasadnione</w:t>
      </w:r>
      <w:r w:rsidR="00001D9A">
        <w:rPr>
          <w:rFonts w:ascii="Times New Roman" w:eastAsia="Times New Roman" w:hAnsi="Times New Roman" w:cs="Times New Roman"/>
          <w:sz w:val="24"/>
          <w:szCs w:val="24"/>
          <w:lang w:eastAsia="pl-PL"/>
        </w:rPr>
        <w:t>,</w:t>
      </w:r>
    </w:p>
    <w:p w:rsidR="00DE0911" w:rsidRPr="0039474D" w:rsidRDefault="0085207E" w:rsidP="00F5508D">
      <w:pPr>
        <w:pStyle w:val="Akapitzlist"/>
        <w:numPr>
          <w:ilvl w:val="0"/>
          <w:numId w:val="21"/>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b/>
          <w:sz w:val="24"/>
          <w:szCs w:val="24"/>
          <w:lang w:eastAsia="pl-PL"/>
        </w:rPr>
        <w:t>w</w:t>
      </w:r>
      <w:r w:rsidR="00E75557" w:rsidRPr="0039474D">
        <w:rPr>
          <w:rFonts w:ascii="Times New Roman" w:eastAsia="Times New Roman" w:hAnsi="Times New Roman" w:cs="Times New Roman"/>
          <w:b/>
          <w:sz w:val="24"/>
          <w:szCs w:val="24"/>
          <w:lang w:eastAsia="pl-PL"/>
        </w:rPr>
        <w:t xml:space="preserve"> pkt 4</w:t>
      </w:r>
      <w:r w:rsidR="00E75557" w:rsidRPr="0039474D">
        <w:rPr>
          <w:rFonts w:ascii="Times New Roman" w:eastAsia="Times New Roman" w:hAnsi="Times New Roman" w:cs="Times New Roman"/>
          <w:sz w:val="24"/>
          <w:szCs w:val="24"/>
          <w:lang w:eastAsia="pl-PL"/>
        </w:rPr>
        <w:t xml:space="preserve"> proponuje się zmianę pol</w:t>
      </w:r>
      <w:r w:rsidR="000364B2" w:rsidRPr="0039474D">
        <w:rPr>
          <w:rFonts w:ascii="Times New Roman" w:eastAsia="Times New Roman" w:hAnsi="Times New Roman" w:cs="Times New Roman"/>
          <w:sz w:val="24"/>
          <w:szCs w:val="24"/>
          <w:lang w:eastAsia="pl-PL"/>
        </w:rPr>
        <w:t>egającą na dostosowaniu jego brzmienia do przepisów ustawy z</w:t>
      </w:r>
      <w:r w:rsidR="00F749A5">
        <w:rPr>
          <w:rFonts w:ascii="Times New Roman" w:eastAsia="Times New Roman" w:hAnsi="Times New Roman" w:cs="Times New Roman"/>
          <w:sz w:val="24"/>
          <w:szCs w:val="24"/>
          <w:lang w:eastAsia="pl-PL"/>
        </w:rPr>
        <w:t xml:space="preserve"> </w:t>
      </w:r>
      <w:r w:rsidR="00E75557" w:rsidRPr="0039474D">
        <w:rPr>
          <w:rFonts w:ascii="Times New Roman" w:eastAsia="Times New Roman" w:hAnsi="Times New Roman" w:cs="Times New Roman"/>
          <w:sz w:val="24"/>
          <w:szCs w:val="24"/>
          <w:lang w:eastAsia="pl-PL"/>
        </w:rPr>
        <w:t xml:space="preserve">dnia 21 sierpnia 1997 r. o gospodarce </w:t>
      </w:r>
      <w:r w:rsidR="000364B2" w:rsidRPr="0039474D">
        <w:rPr>
          <w:rFonts w:ascii="Times New Roman" w:eastAsia="Times New Roman" w:hAnsi="Times New Roman" w:cs="Times New Roman"/>
          <w:sz w:val="24"/>
          <w:szCs w:val="24"/>
          <w:lang w:eastAsia="pl-PL"/>
        </w:rPr>
        <w:t xml:space="preserve">nieruchomościami </w:t>
      </w:r>
      <w:r w:rsidR="00FD67DF" w:rsidRPr="0039474D">
        <w:rPr>
          <w:rFonts w:ascii="Times New Roman" w:eastAsia="Times New Roman" w:hAnsi="Times New Roman" w:cs="Times New Roman"/>
          <w:sz w:val="24"/>
          <w:szCs w:val="24"/>
          <w:lang w:eastAsia="pl-PL"/>
        </w:rPr>
        <w:t xml:space="preserve">(Dz. U. </w:t>
      </w:r>
      <w:r w:rsidR="00B379CD">
        <w:rPr>
          <w:rFonts w:ascii="Times New Roman" w:eastAsia="Times New Roman" w:hAnsi="Times New Roman" w:cs="Times New Roman"/>
          <w:sz w:val="24"/>
          <w:szCs w:val="24"/>
          <w:lang w:eastAsia="pl-PL"/>
        </w:rPr>
        <w:t xml:space="preserve">z </w:t>
      </w:r>
      <w:r w:rsidR="00FD67DF" w:rsidRPr="0039474D">
        <w:rPr>
          <w:rFonts w:ascii="Times New Roman" w:eastAsia="Times New Roman" w:hAnsi="Times New Roman" w:cs="Times New Roman"/>
          <w:sz w:val="24"/>
          <w:szCs w:val="24"/>
          <w:lang w:eastAsia="pl-PL"/>
        </w:rPr>
        <w:t>2014 r. poz.</w:t>
      </w:r>
      <w:r w:rsidR="008D10D8">
        <w:rPr>
          <w:rFonts w:ascii="Times New Roman" w:eastAsia="Times New Roman" w:hAnsi="Times New Roman" w:cs="Times New Roman"/>
          <w:sz w:val="24"/>
          <w:szCs w:val="24"/>
          <w:lang w:eastAsia="pl-PL"/>
        </w:rPr>
        <w:t> </w:t>
      </w:r>
      <w:r w:rsidR="00FD67DF" w:rsidRPr="0039474D">
        <w:rPr>
          <w:rFonts w:ascii="Times New Roman" w:eastAsia="Times New Roman" w:hAnsi="Times New Roman" w:cs="Times New Roman"/>
          <w:sz w:val="24"/>
          <w:szCs w:val="24"/>
          <w:lang w:eastAsia="pl-PL"/>
        </w:rPr>
        <w:t>518, z późn. zm.) i</w:t>
      </w:r>
      <w:r w:rsidR="00F749A5">
        <w:rPr>
          <w:rFonts w:ascii="Times New Roman" w:eastAsia="Times New Roman" w:hAnsi="Times New Roman" w:cs="Times New Roman"/>
          <w:sz w:val="24"/>
          <w:szCs w:val="24"/>
          <w:lang w:eastAsia="pl-PL"/>
        </w:rPr>
        <w:t xml:space="preserve"> </w:t>
      </w:r>
      <w:r w:rsidR="000364B2" w:rsidRPr="0039474D">
        <w:rPr>
          <w:rFonts w:ascii="Times New Roman" w:eastAsia="Times New Roman" w:hAnsi="Times New Roman" w:cs="Times New Roman"/>
          <w:sz w:val="24"/>
          <w:szCs w:val="24"/>
          <w:lang w:eastAsia="pl-PL"/>
        </w:rPr>
        <w:t>innych ustaw</w:t>
      </w:r>
      <w:r w:rsidR="00E75557" w:rsidRPr="0039474D">
        <w:rPr>
          <w:rFonts w:ascii="Times New Roman" w:eastAsia="Times New Roman" w:hAnsi="Times New Roman" w:cs="Times New Roman"/>
          <w:sz w:val="24"/>
          <w:szCs w:val="24"/>
          <w:lang w:eastAsia="pl-PL"/>
        </w:rPr>
        <w:t xml:space="preserve"> dotyczących nieruchomości, poprzez wprowadzenie </w:t>
      </w:r>
      <w:r w:rsidR="00E360DF" w:rsidRPr="0039474D">
        <w:rPr>
          <w:rFonts w:ascii="Times New Roman" w:eastAsia="Times New Roman" w:hAnsi="Times New Roman" w:cs="Times New Roman"/>
          <w:sz w:val="24"/>
          <w:szCs w:val="24"/>
          <w:lang w:eastAsia="pl-PL"/>
        </w:rPr>
        <w:t xml:space="preserve">pojęcia </w:t>
      </w:r>
      <w:r w:rsidR="00E75557" w:rsidRPr="0039474D">
        <w:rPr>
          <w:rFonts w:ascii="Times New Roman" w:eastAsia="Times New Roman" w:hAnsi="Times New Roman" w:cs="Times New Roman"/>
          <w:sz w:val="24"/>
          <w:szCs w:val="24"/>
          <w:lang w:eastAsia="pl-PL"/>
        </w:rPr>
        <w:t>zarządzania nieruchomościami, a nie samymi budynkami. Chociaż budynek może stanowić odrębną nieruchomość</w:t>
      </w:r>
      <w:r w:rsidR="00B379CD">
        <w:rPr>
          <w:rFonts w:ascii="Times New Roman" w:eastAsia="Times New Roman" w:hAnsi="Times New Roman" w:cs="Times New Roman"/>
          <w:sz w:val="24"/>
          <w:szCs w:val="24"/>
          <w:lang w:eastAsia="pl-PL"/>
        </w:rPr>
        <w:t>,</w:t>
      </w:r>
      <w:r w:rsidR="00E75557" w:rsidRPr="0039474D">
        <w:rPr>
          <w:rFonts w:ascii="Times New Roman" w:eastAsia="Times New Roman" w:hAnsi="Times New Roman" w:cs="Times New Roman"/>
          <w:sz w:val="24"/>
          <w:szCs w:val="24"/>
          <w:lang w:eastAsia="pl-PL"/>
        </w:rPr>
        <w:t xml:space="preserve"> gdy został wzniesiony na gruncie oddanym w uży</w:t>
      </w:r>
      <w:r w:rsidR="0036000A" w:rsidRPr="0039474D">
        <w:rPr>
          <w:rFonts w:ascii="Times New Roman" w:eastAsia="Times New Roman" w:hAnsi="Times New Roman" w:cs="Times New Roman"/>
          <w:sz w:val="24"/>
          <w:szCs w:val="24"/>
          <w:lang w:eastAsia="pl-PL"/>
        </w:rPr>
        <w:t>tkowanie wieczyste, to jednak w</w:t>
      </w:r>
      <w:r w:rsidR="00F749A5">
        <w:rPr>
          <w:rFonts w:ascii="Times New Roman" w:eastAsia="Times New Roman" w:hAnsi="Times New Roman" w:cs="Times New Roman"/>
          <w:sz w:val="24"/>
          <w:szCs w:val="24"/>
          <w:lang w:eastAsia="pl-PL"/>
        </w:rPr>
        <w:t xml:space="preserve"> </w:t>
      </w:r>
      <w:r w:rsidR="00E75557" w:rsidRPr="0039474D">
        <w:rPr>
          <w:rFonts w:ascii="Times New Roman" w:eastAsia="Times New Roman" w:hAnsi="Times New Roman" w:cs="Times New Roman"/>
          <w:sz w:val="24"/>
          <w:szCs w:val="24"/>
          <w:lang w:eastAsia="pl-PL"/>
        </w:rPr>
        <w:t>przepisie nie chodzi tylko o takie budynki, ale również o nieruchomości gruntowe, w skład których wchodzą bud</w:t>
      </w:r>
      <w:r w:rsidR="004A6DC6" w:rsidRPr="0039474D">
        <w:rPr>
          <w:rFonts w:ascii="Times New Roman" w:eastAsia="Times New Roman" w:hAnsi="Times New Roman" w:cs="Times New Roman"/>
          <w:sz w:val="24"/>
          <w:szCs w:val="24"/>
          <w:lang w:eastAsia="pl-PL"/>
        </w:rPr>
        <w:t>ynki będące w</w:t>
      </w:r>
      <w:r w:rsidR="00F749A5">
        <w:rPr>
          <w:rFonts w:ascii="Times New Roman" w:eastAsia="Times New Roman" w:hAnsi="Times New Roman" w:cs="Times New Roman"/>
          <w:sz w:val="24"/>
          <w:szCs w:val="24"/>
          <w:lang w:eastAsia="pl-PL"/>
        </w:rPr>
        <w:t xml:space="preserve"> </w:t>
      </w:r>
      <w:r w:rsidR="000364B2" w:rsidRPr="0039474D">
        <w:rPr>
          <w:rFonts w:ascii="Times New Roman" w:eastAsia="Times New Roman" w:hAnsi="Times New Roman" w:cs="Times New Roman"/>
          <w:sz w:val="24"/>
          <w:szCs w:val="24"/>
          <w:lang w:eastAsia="pl-PL"/>
        </w:rPr>
        <w:t>zasobie TBS</w:t>
      </w:r>
      <w:r w:rsidR="00480349" w:rsidRPr="0039474D">
        <w:rPr>
          <w:rFonts w:ascii="Times New Roman" w:eastAsia="Times New Roman" w:hAnsi="Times New Roman" w:cs="Times New Roman"/>
          <w:sz w:val="24"/>
          <w:szCs w:val="24"/>
          <w:lang w:eastAsia="pl-PL"/>
        </w:rPr>
        <w:t>-ów</w:t>
      </w:r>
      <w:r w:rsidR="00E75557" w:rsidRPr="0039474D">
        <w:rPr>
          <w:rFonts w:ascii="Times New Roman" w:eastAsia="Times New Roman" w:hAnsi="Times New Roman" w:cs="Times New Roman"/>
          <w:sz w:val="24"/>
          <w:szCs w:val="24"/>
          <w:lang w:eastAsia="pl-PL"/>
        </w:rPr>
        <w:t xml:space="preserve">. Nawet jeśli towarzystwo zarządza budynkiem stanowiącym odrębną nieruchomość, to jednocześnie zarządza nieruchomością, na której posadowiony jest ten budynek. Przepis ten pozwoli również towarzystwom zarządzać nieruchomościami lokalowymi i nieruchomościami wspólnymi, o których mowa w </w:t>
      </w:r>
      <w:r w:rsidR="00FD67DF" w:rsidRPr="0039474D">
        <w:rPr>
          <w:rFonts w:ascii="Times New Roman" w:eastAsia="Times New Roman" w:hAnsi="Times New Roman" w:cs="Times New Roman"/>
          <w:sz w:val="24"/>
          <w:szCs w:val="24"/>
          <w:lang w:eastAsia="pl-PL"/>
        </w:rPr>
        <w:t>ustawie z dnia 24</w:t>
      </w:r>
      <w:r w:rsidR="008D10D8">
        <w:rPr>
          <w:rFonts w:ascii="Times New Roman" w:eastAsia="Times New Roman" w:hAnsi="Times New Roman" w:cs="Times New Roman"/>
          <w:sz w:val="24"/>
          <w:szCs w:val="24"/>
          <w:lang w:eastAsia="pl-PL"/>
        </w:rPr>
        <w:t> </w:t>
      </w:r>
      <w:r w:rsidR="00E75557" w:rsidRPr="0039474D">
        <w:rPr>
          <w:rFonts w:ascii="Times New Roman" w:eastAsia="Times New Roman" w:hAnsi="Times New Roman" w:cs="Times New Roman"/>
          <w:sz w:val="24"/>
          <w:szCs w:val="24"/>
          <w:lang w:eastAsia="pl-PL"/>
        </w:rPr>
        <w:t>cze</w:t>
      </w:r>
      <w:r w:rsidR="000364B2" w:rsidRPr="0039474D">
        <w:rPr>
          <w:rFonts w:ascii="Times New Roman" w:eastAsia="Times New Roman" w:hAnsi="Times New Roman" w:cs="Times New Roman"/>
          <w:sz w:val="24"/>
          <w:szCs w:val="24"/>
          <w:lang w:eastAsia="pl-PL"/>
        </w:rPr>
        <w:t>rwca 1994 r. o własności lokali</w:t>
      </w:r>
      <w:r w:rsidR="00625DF9" w:rsidRPr="0039474D">
        <w:rPr>
          <w:rFonts w:ascii="Times New Roman" w:eastAsia="Times New Roman" w:hAnsi="Times New Roman" w:cs="Times New Roman"/>
          <w:sz w:val="24"/>
          <w:szCs w:val="24"/>
          <w:lang w:eastAsia="pl-PL"/>
        </w:rPr>
        <w:t xml:space="preserve"> (Dz. U.</w:t>
      </w:r>
      <w:r w:rsidR="00853AF8" w:rsidRPr="0039474D">
        <w:rPr>
          <w:rFonts w:ascii="Times New Roman" w:eastAsia="Times New Roman" w:hAnsi="Times New Roman" w:cs="Times New Roman"/>
          <w:sz w:val="24"/>
          <w:szCs w:val="24"/>
          <w:lang w:eastAsia="pl-PL"/>
        </w:rPr>
        <w:t xml:space="preserve"> </w:t>
      </w:r>
      <w:r w:rsidR="00625DF9" w:rsidRPr="0039474D">
        <w:rPr>
          <w:rFonts w:ascii="Times New Roman" w:eastAsia="Times New Roman" w:hAnsi="Times New Roman" w:cs="Times New Roman"/>
          <w:sz w:val="24"/>
          <w:szCs w:val="24"/>
          <w:lang w:eastAsia="pl-PL"/>
        </w:rPr>
        <w:t>z 2000 r. Nr 80, poz. 903, z późn. zm.)</w:t>
      </w:r>
      <w:r w:rsidR="00E75557" w:rsidRPr="0039474D">
        <w:rPr>
          <w:rFonts w:ascii="Times New Roman" w:eastAsia="Times New Roman" w:hAnsi="Times New Roman" w:cs="Times New Roman"/>
          <w:sz w:val="24"/>
          <w:szCs w:val="24"/>
          <w:lang w:eastAsia="pl-PL"/>
        </w:rPr>
        <w:t xml:space="preserve">, </w:t>
      </w:r>
      <w:r w:rsidR="00E75557" w:rsidRPr="0039474D">
        <w:rPr>
          <w:rFonts w:ascii="Times New Roman" w:eastAsia="Times New Roman" w:hAnsi="Times New Roman" w:cs="Times New Roman"/>
          <w:sz w:val="24"/>
          <w:szCs w:val="24"/>
          <w:lang w:eastAsia="pl-PL"/>
        </w:rPr>
        <w:lastRenderedPageBreak/>
        <w:t>któr</w:t>
      </w:r>
      <w:r w:rsidR="00E85114" w:rsidRPr="0039474D">
        <w:rPr>
          <w:rFonts w:ascii="Times New Roman" w:eastAsia="Times New Roman" w:hAnsi="Times New Roman" w:cs="Times New Roman"/>
          <w:sz w:val="24"/>
          <w:szCs w:val="24"/>
          <w:lang w:eastAsia="pl-PL"/>
        </w:rPr>
        <w:t>e obejmują tylko część budynków</w:t>
      </w:r>
      <w:r w:rsidR="004724C2" w:rsidRPr="0039474D">
        <w:rPr>
          <w:rFonts w:ascii="Times New Roman" w:eastAsia="Times New Roman" w:hAnsi="Times New Roman" w:cs="Times New Roman"/>
          <w:sz w:val="24"/>
          <w:szCs w:val="24"/>
          <w:lang w:eastAsia="pl-PL"/>
        </w:rPr>
        <w:t xml:space="preserve">. Zrezygnowano ponadto z </w:t>
      </w:r>
      <w:r w:rsidR="00DD1885" w:rsidRPr="0039474D">
        <w:rPr>
          <w:rFonts w:ascii="Times New Roman" w:eastAsia="Times New Roman" w:hAnsi="Times New Roman" w:cs="Times New Roman"/>
          <w:sz w:val="24"/>
          <w:szCs w:val="24"/>
          <w:lang w:eastAsia="pl-PL"/>
        </w:rPr>
        <w:t xml:space="preserve">obecnie funkcjonującego </w:t>
      </w:r>
      <w:r w:rsidR="004724C2" w:rsidRPr="0039474D">
        <w:rPr>
          <w:rFonts w:ascii="Times New Roman" w:eastAsia="Times New Roman" w:hAnsi="Times New Roman" w:cs="Times New Roman"/>
          <w:sz w:val="24"/>
          <w:szCs w:val="24"/>
          <w:lang w:eastAsia="pl-PL"/>
        </w:rPr>
        <w:t xml:space="preserve">ograniczenia umożliwiającego </w:t>
      </w:r>
      <w:r w:rsidR="00D06F6F" w:rsidRPr="0039474D">
        <w:rPr>
          <w:rFonts w:ascii="Times New Roman" w:eastAsia="Times New Roman" w:hAnsi="Times New Roman" w:cs="Times New Roman"/>
          <w:sz w:val="24"/>
          <w:szCs w:val="24"/>
          <w:lang w:eastAsia="pl-PL"/>
        </w:rPr>
        <w:t>TBS-om</w:t>
      </w:r>
      <w:r w:rsidR="004724C2" w:rsidRPr="0039474D">
        <w:rPr>
          <w:rFonts w:ascii="Times New Roman" w:eastAsia="Times New Roman" w:hAnsi="Times New Roman" w:cs="Times New Roman"/>
          <w:sz w:val="24"/>
          <w:szCs w:val="24"/>
          <w:lang w:eastAsia="pl-PL"/>
        </w:rPr>
        <w:t xml:space="preserve"> na sprawowanie zarządu w odniesieniu do </w:t>
      </w:r>
      <w:r w:rsidR="00DD1885" w:rsidRPr="0039474D">
        <w:rPr>
          <w:rFonts w:ascii="Times New Roman" w:eastAsia="Times New Roman" w:hAnsi="Times New Roman" w:cs="Times New Roman"/>
          <w:sz w:val="24"/>
          <w:szCs w:val="24"/>
          <w:lang w:eastAsia="pl-PL"/>
        </w:rPr>
        <w:t>budynków</w:t>
      </w:r>
      <w:r w:rsidR="00F749A5">
        <w:rPr>
          <w:rFonts w:ascii="Times New Roman" w:eastAsia="Times New Roman" w:hAnsi="Times New Roman" w:cs="Times New Roman"/>
          <w:sz w:val="24"/>
          <w:szCs w:val="24"/>
          <w:lang w:eastAsia="pl-PL"/>
        </w:rPr>
        <w:t xml:space="preserve"> </w:t>
      </w:r>
      <w:r w:rsidR="004724C2" w:rsidRPr="0039474D">
        <w:rPr>
          <w:rFonts w:ascii="Times New Roman" w:eastAsia="Times New Roman" w:hAnsi="Times New Roman" w:cs="Times New Roman"/>
          <w:sz w:val="24"/>
          <w:szCs w:val="24"/>
          <w:lang w:eastAsia="pl-PL"/>
        </w:rPr>
        <w:t xml:space="preserve">niemieszkalnych niestanowiących własności spółki, w sytuacji gdy ich powierzchnia nie przekracza powierzchni zarządzanych </w:t>
      </w:r>
      <w:r w:rsidR="00DD1885" w:rsidRPr="0039474D">
        <w:rPr>
          <w:rFonts w:ascii="Times New Roman" w:eastAsia="Times New Roman" w:hAnsi="Times New Roman" w:cs="Times New Roman"/>
          <w:sz w:val="24"/>
          <w:szCs w:val="24"/>
          <w:lang w:eastAsia="pl-PL"/>
        </w:rPr>
        <w:t>budynków</w:t>
      </w:r>
      <w:r w:rsidR="00F749A5">
        <w:rPr>
          <w:rFonts w:ascii="Times New Roman" w:eastAsia="Times New Roman" w:hAnsi="Times New Roman" w:cs="Times New Roman"/>
          <w:sz w:val="24"/>
          <w:szCs w:val="24"/>
          <w:lang w:eastAsia="pl-PL"/>
        </w:rPr>
        <w:t xml:space="preserve"> </w:t>
      </w:r>
      <w:r w:rsidR="00480349" w:rsidRPr="0039474D">
        <w:rPr>
          <w:rFonts w:ascii="Times New Roman" w:eastAsia="Times New Roman" w:hAnsi="Times New Roman" w:cs="Times New Roman"/>
          <w:sz w:val="24"/>
          <w:szCs w:val="24"/>
          <w:lang w:eastAsia="pl-PL"/>
        </w:rPr>
        <w:t>mieszkalnych.</w:t>
      </w:r>
      <w:r w:rsidR="004724C2" w:rsidRPr="0039474D">
        <w:rPr>
          <w:rFonts w:ascii="Times New Roman" w:eastAsia="Times New Roman" w:hAnsi="Times New Roman" w:cs="Times New Roman"/>
          <w:sz w:val="24"/>
          <w:szCs w:val="24"/>
          <w:lang w:eastAsia="pl-PL"/>
        </w:rPr>
        <w:t xml:space="preserve"> Zmiana t</w:t>
      </w:r>
      <w:r w:rsidR="00B379CD">
        <w:rPr>
          <w:rFonts w:ascii="Times New Roman" w:eastAsia="Times New Roman" w:hAnsi="Times New Roman" w:cs="Times New Roman"/>
          <w:sz w:val="24"/>
          <w:szCs w:val="24"/>
          <w:lang w:eastAsia="pl-PL"/>
        </w:rPr>
        <w:t>a</w:t>
      </w:r>
      <w:r w:rsidR="004724C2" w:rsidRPr="0039474D">
        <w:rPr>
          <w:rFonts w:ascii="Times New Roman" w:eastAsia="Times New Roman" w:hAnsi="Times New Roman" w:cs="Times New Roman"/>
          <w:sz w:val="24"/>
          <w:szCs w:val="24"/>
          <w:lang w:eastAsia="pl-PL"/>
        </w:rPr>
        <w:t xml:space="preserve"> podyktowana jest fakte</w:t>
      </w:r>
      <w:r w:rsidR="00DD1885" w:rsidRPr="0039474D">
        <w:rPr>
          <w:rFonts w:ascii="Times New Roman" w:eastAsia="Times New Roman" w:hAnsi="Times New Roman" w:cs="Times New Roman"/>
          <w:sz w:val="24"/>
          <w:szCs w:val="24"/>
          <w:lang w:eastAsia="pl-PL"/>
        </w:rPr>
        <w:t>m</w:t>
      </w:r>
      <w:r w:rsidR="004724C2" w:rsidRPr="0039474D">
        <w:rPr>
          <w:rFonts w:ascii="Times New Roman" w:eastAsia="Times New Roman" w:hAnsi="Times New Roman" w:cs="Times New Roman"/>
          <w:sz w:val="24"/>
          <w:szCs w:val="24"/>
          <w:lang w:eastAsia="pl-PL"/>
        </w:rPr>
        <w:t xml:space="preserve">, że </w:t>
      </w:r>
      <w:r w:rsidR="001C2951" w:rsidRPr="0039474D">
        <w:rPr>
          <w:rFonts w:ascii="Times New Roman" w:eastAsia="Times New Roman" w:hAnsi="Times New Roman" w:cs="Times New Roman"/>
          <w:sz w:val="24"/>
          <w:szCs w:val="24"/>
          <w:lang w:eastAsia="pl-PL"/>
        </w:rPr>
        <w:t>żaden</w:t>
      </w:r>
      <w:r w:rsidR="00D06F6F" w:rsidRPr="0039474D">
        <w:rPr>
          <w:rFonts w:ascii="Times New Roman" w:eastAsia="Times New Roman" w:hAnsi="Times New Roman" w:cs="Times New Roman"/>
          <w:sz w:val="24"/>
          <w:szCs w:val="24"/>
          <w:lang w:eastAsia="pl-PL"/>
        </w:rPr>
        <w:t xml:space="preserve"> </w:t>
      </w:r>
      <w:r w:rsidR="001C2951" w:rsidRPr="0039474D">
        <w:rPr>
          <w:rFonts w:ascii="Times New Roman" w:eastAsia="Times New Roman" w:hAnsi="Times New Roman" w:cs="Times New Roman"/>
          <w:sz w:val="24"/>
          <w:szCs w:val="24"/>
          <w:lang w:eastAsia="pl-PL"/>
        </w:rPr>
        <w:t xml:space="preserve">z uczestników rynku nieruchomości nie ma prawnych ograniczeń przy zarządzaniu nieruchomościami poza towarzystwami. Przy projektowanej zmianie wzięto również pod uwagę, że wynagrodzenie za zarządzanie nieruchomościami stanowi jedno ze źródeł finansowania </w:t>
      </w:r>
      <w:r w:rsidR="00DD1885" w:rsidRPr="0039474D">
        <w:rPr>
          <w:rFonts w:ascii="Times New Roman" w:eastAsia="Times New Roman" w:hAnsi="Times New Roman" w:cs="Times New Roman"/>
          <w:sz w:val="24"/>
          <w:szCs w:val="24"/>
          <w:lang w:eastAsia="pl-PL"/>
        </w:rPr>
        <w:t xml:space="preserve">statutowej działalności </w:t>
      </w:r>
      <w:r w:rsidR="001C2951" w:rsidRPr="0039474D">
        <w:rPr>
          <w:rFonts w:ascii="Times New Roman" w:eastAsia="Times New Roman" w:hAnsi="Times New Roman" w:cs="Times New Roman"/>
          <w:sz w:val="24"/>
          <w:szCs w:val="24"/>
          <w:lang w:eastAsia="pl-PL"/>
        </w:rPr>
        <w:t>towarzystw</w:t>
      </w:r>
      <w:r w:rsidR="00DD1885" w:rsidRPr="0039474D">
        <w:rPr>
          <w:rFonts w:ascii="Times New Roman" w:eastAsia="Times New Roman" w:hAnsi="Times New Roman" w:cs="Times New Roman"/>
          <w:sz w:val="24"/>
          <w:szCs w:val="24"/>
          <w:lang w:eastAsia="pl-PL"/>
        </w:rPr>
        <w:t>, w tym przede wszystkim budowania domów mieszkalnych i ich eksploatacji na zasadach najmu</w:t>
      </w:r>
      <w:r w:rsidR="00B379CD">
        <w:rPr>
          <w:rFonts w:ascii="Times New Roman" w:eastAsia="Times New Roman" w:hAnsi="Times New Roman" w:cs="Times New Roman"/>
          <w:sz w:val="24"/>
          <w:szCs w:val="24"/>
          <w:lang w:eastAsia="pl-PL"/>
        </w:rPr>
        <w:t>,</w:t>
      </w:r>
      <w:r w:rsidR="00E75557" w:rsidRPr="0039474D">
        <w:rPr>
          <w:rFonts w:ascii="Times New Roman" w:eastAsia="Times New Roman" w:hAnsi="Times New Roman" w:cs="Times New Roman"/>
          <w:sz w:val="24"/>
          <w:szCs w:val="24"/>
          <w:lang w:eastAsia="pl-PL"/>
        </w:rPr>
        <w:t xml:space="preserve"> </w:t>
      </w:r>
    </w:p>
    <w:p w:rsidR="00DE0911" w:rsidRPr="0039474D" w:rsidRDefault="0085207E" w:rsidP="00F5508D">
      <w:pPr>
        <w:pStyle w:val="Akapitzlist"/>
        <w:numPr>
          <w:ilvl w:val="0"/>
          <w:numId w:val="21"/>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dodanie </w:t>
      </w:r>
      <w:r w:rsidRPr="0039474D">
        <w:rPr>
          <w:rFonts w:ascii="Times New Roman" w:eastAsia="Times New Roman" w:hAnsi="Times New Roman" w:cs="Times New Roman"/>
          <w:b/>
          <w:sz w:val="24"/>
          <w:szCs w:val="24"/>
          <w:lang w:eastAsia="pl-PL"/>
        </w:rPr>
        <w:t>pkt 4a</w:t>
      </w:r>
      <w:r w:rsidR="000364B2" w:rsidRPr="0039474D">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wiąże</w:t>
      </w:r>
      <w:r w:rsidR="00E75557" w:rsidRPr="0039474D">
        <w:rPr>
          <w:rFonts w:ascii="Times New Roman" w:eastAsia="Times New Roman" w:hAnsi="Times New Roman" w:cs="Times New Roman"/>
          <w:sz w:val="24"/>
          <w:szCs w:val="24"/>
          <w:lang w:eastAsia="pl-PL"/>
        </w:rPr>
        <w:t xml:space="preserve"> </w:t>
      </w:r>
      <w:r w:rsidR="003771CD" w:rsidRPr="0039474D">
        <w:rPr>
          <w:rFonts w:ascii="Times New Roman" w:eastAsia="Times New Roman" w:hAnsi="Times New Roman" w:cs="Times New Roman"/>
          <w:sz w:val="24"/>
          <w:szCs w:val="24"/>
          <w:lang w:eastAsia="pl-PL"/>
        </w:rPr>
        <w:t xml:space="preserve">się </w:t>
      </w:r>
      <w:r w:rsidR="001001E9" w:rsidRPr="0039474D">
        <w:rPr>
          <w:rFonts w:ascii="Times New Roman" w:eastAsia="Times New Roman" w:hAnsi="Times New Roman" w:cs="Times New Roman"/>
          <w:sz w:val="24"/>
          <w:szCs w:val="24"/>
          <w:lang w:eastAsia="pl-PL"/>
        </w:rPr>
        <w:t>z koniecznością doprecyzowania zakresu działania towarzystwa, wynikającą z możliwości</w:t>
      </w:r>
      <w:r w:rsidR="003771CD" w:rsidRPr="0039474D">
        <w:rPr>
          <w:rFonts w:ascii="Times New Roman" w:eastAsia="Times New Roman" w:hAnsi="Times New Roman" w:cs="Times New Roman"/>
          <w:sz w:val="24"/>
          <w:szCs w:val="24"/>
          <w:lang w:eastAsia="pl-PL"/>
        </w:rPr>
        <w:t xml:space="preserve"> wyodrębniania lokali mieszkalnych na własność </w:t>
      </w:r>
      <w:r w:rsidR="001001E9" w:rsidRPr="0039474D">
        <w:rPr>
          <w:rFonts w:ascii="Times New Roman" w:eastAsia="Times New Roman" w:hAnsi="Times New Roman" w:cs="Times New Roman"/>
          <w:sz w:val="24"/>
          <w:szCs w:val="24"/>
          <w:lang w:eastAsia="pl-PL"/>
        </w:rPr>
        <w:t xml:space="preserve">na podstawie przepisów rozdziału 4b ustawy. </w:t>
      </w:r>
      <w:r w:rsidR="000364B2" w:rsidRPr="0039474D">
        <w:rPr>
          <w:rFonts w:ascii="Times New Roman" w:eastAsia="Times New Roman" w:hAnsi="Times New Roman" w:cs="Times New Roman"/>
          <w:sz w:val="24"/>
          <w:szCs w:val="24"/>
          <w:lang w:eastAsia="pl-PL"/>
        </w:rPr>
        <w:t>W</w:t>
      </w:r>
      <w:r w:rsidR="00F749A5">
        <w:rPr>
          <w:rFonts w:ascii="Times New Roman" w:eastAsia="Times New Roman" w:hAnsi="Times New Roman" w:cs="Times New Roman"/>
          <w:sz w:val="24"/>
          <w:szCs w:val="24"/>
          <w:lang w:eastAsia="pl-PL"/>
        </w:rPr>
        <w:t xml:space="preserve"> </w:t>
      </w:r>
      <w:r w:rsidR="00E75557" w:rsidRPr="0039474D">
        <w:rPr>
          <w:rFonts w:ascii="Times New Roman" w:eastAsia="Times New Roman" w:hAnsi="Times New Roman" w:cs="Times New Roman"/>
          <w:sz w:val="24"/>
          <w:szCs w:val="24"/>
          <w:lang w:eastAsia="pl-PL"/>
        </w:rPr>
        <w:t xml:space="preserve">sytuacji zbycia części lokali w budynku, towarzystwo </w:t>
      </w:r>
      <w:r w:rsidR="001001E9" w:rsidRPr="0039474D">
        <w:rPr>
          <w:rFonts w:ascii="Times New Roman" w:eastAsia="Times New Roman" w:hAnsi="Times New Roman" w:cs="Times New Roman"/>
          <w:sz w:val="24"/>
          <w:szCs w:val="24"/>
          <w:lang w:eastAsia="pl-PL"/>
        </w:rPr>
        <w:t>sprawuje</w:t>
      </w:r>
      <w:r w:rsidR="000364B2" w:rsidRPr="0039474D">
        <w:rPr>
          <w:rFonts w:ascii="Times New Roman" w:eastAsia="Times New Roman" w:hAnsi="Times New Roman" w:cs="Times New Roman"/>
          <w:sz w:val="24"/>
          <w:szCs w:val="24"/>
          <w:lang w:eastAsia="pl-PL"/>
        </w:rPr>
        <w:t xml:space="preserve"> zarzą</w:t>
      </w:r>
      <w:r w:rsidR="001001E9" w:rsidRPr="0039474D">
        <w:rPr>
          <w:rFonts w:ascii="Times New Roman" w:eastAsia="Times New Roman" w:hAnsi="Times New Roman" w:cs="Times New Roman"/>
          <w:sz w:val="24"/>
          <w:szCs w:val="24"/>
          <w:lang w:eastAsia="pl-PL"/>
        </w:rPr>
        <w:t>d</w:t>
      </w:r>
      <w:r w:rsidR="00E75557" w:rsidRPr="0039474D">
        <w:rPr>
          <w:rFonts w:ascii="Times New Roman" w:eastAsia="Times New Roman" w:hAnsi="Times New Roman" w:cs="Times New Roman"/>
          <w:sz w:val="24"/>
          <w:szCs w:val="24"/>
          <w:lang w:eastAsia="pl-PL"/>
        </w:rPr>
        <w:t xml:space="preserve"> nieruchomością wspólną</w:t>
      </w:r>
      <w:r w:rsidR="001001E9" w:rsidRPr="0039474D">
        <w:rPr>
          <w:rFonts w:ascii="Times New Roman" w:eastAsia="Times New Roman" w:hAnsi="Times New Roman" w:cs="Times New Roman"/>
          <w:sz w:val="24"/>
          <w:szCs w:val="24"/>
          <w:lang w:eastAsia="pl-PL"/>
        </w:rPr>
        <w:t xml:space="preserve"> na zasadach określonych w art. 33j ustawy</w:t>
      </w:r>
      <w:r w:rsidR="00E75557" w:rsidRPr="0039474D">
        <w:rPr>
          <w:rFonts w:ascii="Times New Roman" w:eastAsia="Times New Roman" w:hAnsi="Times New Roman" w:cs="Times New Roman"/>
          <w:sz w:val="24"/>
          <w:szCs w:val="24"/>
          <w:lang w:eastAsia="pl-PL"/>
        </w:rPr>
        <w:t>. Dotychczasowe prze</w:t>
      </w:r>
      <w:r w:rsidR="000364B2" w:rsidRPr="0039474D">
        <w:rPr>
          <w:rFonts w:ascii="Times New Roman" w:eastAsia="Times New Roman" w:hAnsi="Times New Roman" w:cs="Times New Roman"/>
          <w:sz w:val="24"/>
          <w:szCs w:val="24"/>
          <w:lang w:eastAsia="pl-PL"/>
        </w:rPr>
        <w:t xml:space="preserve">pisy </w:t>
      </w:r>
      <w:r w:rsidR="001001E9" w:rsidRPr="0039474D">
        <w:rPr>
          <w:rFonts w:ascii="Times New Roman" w:eastAsia="Times New Roman" w:hAnsi="Times New Roman" w:cs="Times New Roman"/>
          <w:sz w:val="24"/>
          <w:szCs w:val="24"/>
          <w:lang w:eastAsia="pl-PL"/>
        </w:rPr>
        <w:t xml:space="preserve">art. 27 </w:t>
      </w:r>
      <w:r w:rsidR="000364B2" w:rsidRPr="0039474D">
        <w:rPr>
          <w:rFonts w:ascii="Times New Roman" w:eastAsia="Times New Roman" w:hAnsi="Times New Roman" w:cs="Times New Roman"/>
          <w:sz w:val="24"/>
          <w:szCs w:val="24"/>
          <w:lang w:eastAsia="pl-PL"/>
        </w:rPr>
        <w:t>odnosiły się tylko do zarzą</w:t>
      </w:r>
      <w:r w:rsidR="00E75557" w:rsidRPr="0039474D">
        <w:rPr>
          <w:rFonts w:ascii="Times New Roman" w:eastAsia="Times New Roman" w:hAnsi="Times New Roman" w:cs="Times New Roman"/>
          <w:sz w:val="24"/>
          <w:szCs w:val="24"/>
          <w:lang w:eastAsia="pl-PL"/>
        </w:rPr>
        <w:t>dzania budynkami (nieruchomościami) niestanowiącymi własności towarzystwa, z c</w:t>
      </w:r>
      <w:r w:rsidR="000364B2" w:rsidRPr="0039474D">
        <w:rPr>
          <w:rFonts w:ascii="Times New Roman" w:eastAsia="Times New Roman" w:hAnsi="Times New Roman" w:cs="Times New Roman"/>
          <w:sz w:val="24"/>
          <w:szCs w:val="24"/>
          <w:lang w:eastAsia="pl-PL"/>
        </w:rPr>
        <w:t>zego wynikała wątpliwość</w:t>
      </w:r>
      <w:r w:rsidR="00B379CD">
        <w:rPr>
          <w:rFonts w:ascii="Times New Roman" w:eastAsia="Times New Roman" w:hAnsi="Times New Roman" w:cs="Times New Roman"/>
          <w:sz w:val="24"/>
          <w:szCs w:val="24"/>
          <w:lang w:eastAsia="pl-PL"/>
        </w:rPr>
        <w:t>,</w:t>
      </w:r>
      <w:r w:rsidR="000364B2" w:rsidRPr="0039474D">
        <w:rPr>
          <w:rFonts w:ascii="Times New Roman" w:eastAsia="Times New Roman" w:hAnsi="Times New Roman" w:cs="Times New Roman"/>
          <w:sz w:val="24"/>
          <w:szCs w:val="24"/>
          <w:lang w:eastAsia="pl-PL"/>
        </w:rPr>
        <w:t xml:space="preserve"> czy TBS</w:t>
      </w:r>
      <w:r w:rsidR="00E75557" w:rsidRPr="0039474D">
        <w:rPr>
          <w:rFonts w:ascii="Times New Roman" w:eastAsia="Times New Roman" w:hAnsi="Times New Roman" w:cs="Times New Roman"/>
          <w:sz w:val="24"/>
          <w:szCs w:val="24"/>
          <w:lang w:eastAsia="pl-PL"/>
        </w:rPr>
        <w:t xml:space="preserve"> może zarządzać nieruchomością będącą w części współwłasnością tego podm</w:t>
      </w:r>
      <w:r w:rsidR="001001E9" w:rsidRPr="0039474D">
        <w:rPr>
          <w:rFonts w:ascii="Times New Roman" w:eastAsia="Times New Roman" w:hAnsi="Times New Roman" w:cs="Times New Roman"/>
          <w:sz w:val="24"/>
          <w:szCs w:val="24"/>
          <w:lang w:eastAsia="pl-PL"/>
        </w:rPr>
        <w:t>iotu</w:t>
      </w:r>
      <w:r w:rsidR="00B379CD">
        <w:rPr>
          <w:rFonts w:ascii="Times New Roman" w:eastAsia="Times New Roman" w:hAnsi="Times New Roman" w:cs="Times New Roman"/>
          <w:sz w:val="24"/>
          <w:szCs w:val="24"/>
          <w:lang w:eastAsia="pl-PL"/>
        </w:rPr>
        <w:t>,</w:t>
      </w:r>
    </w:p>
    <w:p w:rsidR="001F0EA3" w:rsidRPr="0039474D" w:rsidRDefault="00E85114" w:rsidP="00F5508D">
      <w:pPr>
        <w:pStyle w:val="Akapitzlist"/>
        <w:numPr>
          <w:ilvl w:val="0"/>
          <w:numId w:val="21"/>
        </w:numPr>
        <w:spacing w:before="120" w:after="0" w:line="360" w:lineRule="auto"/>
        <w:ind w:left="360"/>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w</w:t>
      </w:r>
      <w:r w:rsidR="00E75557" w:rsidRPr="0039474D">
        <w:rPr>
          <w:rFonts w:ascii="Times New Roman" w:eastAsia="Times New Roman" w:hAnsi="Times New Roman" w:cs="Times New Roman"/>
          <w:sz w:val="24"/>
          <w:szCs w:val="24"/>
          <w:lang w:eastAsia="pl-PL"/>
        </w:rPr>
        <w:t xml:space="preserve"> </w:t>
      </w:r>
      <w:r w:rsidR="00E75557" w:rsidRPr="0039474D">
        <w:rPr>
          <w:rFonts w:ascii="Times New Roman" w:eastAsia="Times New Roman" w:hAnsi="Times New Roman" w:cs="Times New Roman"/>
          <w:b/>
          <w:sz w:val="24"/>
          <w:szCs w:val="24"/>
          <w:lang w:eastAsia="pl-PL"/>
        </w:rPr>
        <w:t>pkt 5</w:t>
      </w:r>
      <w:r w:rsidR="00E75557" w:rsidRPr="0039474D">
        <w:rPr>
          <w:rFonts w:ascii="Times New Roman" w:eastAsia="Times New Roman" w:hAnsi="Times New Roman" w:cs="Times New Roman"/>
          <w:sz w:val="24"/>
          <w:szCs w:val="24"/>
          <w:lang w:eastAsia="pl-PL"/>
        </w:rPr>
        <w:t xml:space="preserve"> proponuje się zmianę polegającą na doprecyzowani</w:t>
      </w:r>
      <w:r w:rsidR="000C027D" w:rsidRPr="0039474D">
        <w:rPr>
          <w:rFonts w:ascii="Times New Roman" w:eastAsia="Times New Roman" w:hAnsi="Times New Roman" w:cs="Times New Roman"/>
          <w:sz w:val="24"/>
          <w:szCs w:val="24"/>
          <w:lang w:eastAsia="pl-PL"/>
        </w:rPr>
        <w:t xml:space="preserve">u przedmiotu działania </w:t>
      </w:r>
      <w:r w:rsidR="008D10D8">
        <w:rPr>
          <w:rFonts w:ascii="Times New Roman" w:eastAsia="Times New Roman" w:hAnsi="Times New Roman" w:cs="Times New Roman"/>
          <w:sz w:val="24"/>
          <w:szCs w:val="24"/>
          <w:lang w:eastAsia="pl-PL"/>
        </w:rPr>
        <w:br/>
      </w:r>
      <w:r w:rsidR="000C027D" w:rsidRPr="0039474D">
        <w:rPr>
          <w:rFonts w:ascii="Times New Roman" w:eastAsia="Times New Roman" w:hAnsi="Times New Roman" w:cs="Times New Roman"/>
          <w:sz w:val="24"/>
          <w:szCs w:val="24"/>
          <w:lang w:eastAsia="pl-PL"/>
        </w:rPr>
        <w:t>TBS</w:t>
      </w:r>
      <w:r w:rsidR="000364B2" w:rsidRPr="0039474D">
        <w:rPr>
          <w:rFonts w:ascii="Times New Roman" w:eastAsia="Times New Roman" w:hAnsi="Times New Roman" w:cs="Times New Roman"/>
          <w:sz w:val="24"/>
          <w:szCs w:val="24"/>
          <w:lang w:eastAsia="pl-PL"/>
        </w:rPr>
        <w:t>-ów w</w:t>
      </w:r>
      <w:r w:rsidR="00F749A5">
        <w:rPr>
          <w:rFonts w:ascii="Times New Roman" w:eastAsia="Times New Roman" w:hAnsi="Times New Roman" w:cs="Times New Roman"/>
          <w:sz w:val="24"/>
          <w:szCs w:val="24"/>
          <w:lang w:eastAsia="pl-PL"/>
        </w:rPr>
        <w:t xml:space="preserve"> </w:t>
      </w:r>
      <w:r w:rsidR="00E75557" w:rsidRPr="0039474D">
        <w:rPr>
          <w:rFonts w:ascii="Times New Roman" w:eastAsia="Times New Roman" w:hAnsi="Times New Roman" w:cs="Times New Roman"/>
          <w:sz w:val="24"/>
          <w:szCs w:val="24"/>
          <w:lang w:eastAsia="pl-PL"/>
        </w:rPr>
        <w:t>zakresie prowadzenia innej działalności związanej z bu</w:t>
      </w:r>
      <w:r w:rsidR="000364B2" w:rsidRPr="0039474D">
        <w:rPr>
          <w:rFonts w:ascii="Times New Roman" w:eastAsia="Times New Roman" w:hAnsi="Times New Roman" w:cs="Times New Roman"/>
          <w:sz w:val="24"/>
          <w:szCs w:val="24"/>
          <w:lang w:eastAsia="pl-PL"/>
        </w:rPr>
        <w:t>downictwem mieszkaniowym i</w:t>
      </w:r>
      <w:r w:rsidR="00F749A5">
        <w:rPr>
          <w:rFonts w:ascii="Times New Roman" w:eastAsia="Times New Roman" w:hAnsi="Times New Roman" w:cs="Times New Roman"/>
          <w:sz w:val="24"/>
          <w:szCs w:val="24"/>
          <w:lang w:eastAsia="pl-PL"/>
        </w:rPr>
        <w:t xml:space="preserve"> </w:t>
      </w:r>
      <w:r w:rsidR="00E75557" w:rsidRPr="0039474D">
        <w:rPr>
          <w:rFonts w:ascii="Times New Roman" w:eastAsia="Times New Roman" w:hAnsi="Times New Roman" w:cs="Times New Roman"/>
          <w:sz w:val="24"/>
          <w:szCs w:val="24"/>
          <w:lang w:eastAsia="pl-PL"/>
        </w:rPr>
        <w:t xml:space="preserve">infrastrukturą towarzyszącą. W dotychczasowym stanie prawnym istniały wątpliwości co do </w:t>
      </w:r>
      <w:r w:rsidR="000364B2" w:rsidRPr="0039474D">
        <w:rPr>
          <w:rFonts w:ascii="Times New Roman" w:eastAsia="Times New Roman" w:hAnsi="Times New Roman" w:cs="Times New Roman"/>
          <w:sz w:val="24"/>
          <w:szCs w:val="24"/>
          <w:lang w:eastAsia="pl-PL"/>
        </w:rPr>
        <w:t>możliwości prowadzenia przez TBS</w:t>
      </w:r>
      <w:r w:rsidR="00C521AA" w:rsidRPr="0039474D">
        <w:rPr>
          <w:rFonts w:ascii="Times New Roman" w:eastAsia="Times New Roman" w:hAnsi="Times New Roman" w:cs="Times New Roman"/>
          <w:sz w:val="24"/>
          <w:szCs w:val="24"/>
          <w:lang w:eastAsia="pl-PL"/>
        </w:rPr>
        <w:t>-y działalności</w:t>
      </w:r>
      <w:r w:rsidR="00E75557" w:rsidRPr="0039474D">
        <w:rPr>
          <w:rFonts w:ascii="Times New Roman" w:eastAsia="Times New Roman" w:hAnsi="Times New Roman" w:cs="Times New Roman"/>
          <w:sz w:val="24"/>
          <w:szCs w:val="24"/>
          <w:lang w:eastAsia="pl-PL"/>
        </w:rPr>
        <w:t xml:space="preserve"> polegającej na budowie lub nabywaniu budynków w celu sprzedaży znajdujących się w tych budynkach lokali mieszkalnych lub lokali o innym przeznaczeniu. Obecny model pr</w:t>
      </w:r>
      <w:r w:rsidR="000C027D" w:rsidRPr="0039474D">
        <w:rPr>
          <w:rFonts w:ascii="Times New Roman" w:eastAsia="Times New Roman" w:hAnsi="Times New Roman" w:cs="Times New Roman"/>
          <w:sz w:val="24"/>
          <w:szCs w:val="24"/>
          <w:lang w:eastAsia="pl-PL"/>
        </w:rPr>
        <w:t>owadzenia działalności przez TBS</w:t>
      </w:r>
      <w:r w:rsidR="00E75557" w:rsidRPr="0039474D">
        <w:rPr>
          <w:rFonts w:ascii="Times New Roman" w:eastAsia="Times New Roman" w:hAnsi="Times New Roman" w:cs="Times New Roman"/>
          <w:sz w:val="24"/>
          <w:szCs w:val="24"/>
          <w:lang w:eastAsia="pl-PL"/>
        </w:rPr>
        <w:t>-y zakłada, że podmioty te powinny mieć jak najszersze możliwości prowadzenia działalności, z której przychody będą mogły być przeznaczane na ich podstaw</w:t>
      </w:r>
      <w:r w:rsidR="00E62EB3" w:rsidRPr="0039474D">
        <w:rPr>
          <w:rFonts w:ascii="Times New Roman" w:eastAsia="Times New Roman" w:hAnsi="Times New Roman" w:cs="Times New Roman"/>
          <w:sz w:val="24"/>
          <w:szCs w:val="24"/>
          <w:lang w:eastAsia="pl-PL"/>
        </w:rPr>
        <w:t>ową działalność polegającą na</w:t>
      </w:r>
      <w:r w:rsidR="00F749A5">
        <w:rPr>
          <w:rFonts w:ascii="Times New Roman" w:eastAsia="Times New Roman" w:hAnsi="Times New Roman" w:cs="Times New Roman"/>
          <w:sz w:val="24"/>
          <w:szCs w:val="24"/>
          <w:lang w:eastAsia="pl-PL"/>
        </w:rPr>
        <w:t xml:space="preserve"> </w:t>
      </w:r>
      <w:r w:rsidR="00E75557" w:rsidRPr="0039474D">
        <w:rPr>
          <w:rFonts w:ascii="Times New Roman" w:eastAsia="Times New Roman" w:hAnsi="Times New Roman" w:cs="Times New Roman"/>
          <w:sz w:val="24"/>
          <w:szCs w:val="24"/>
          <w:lang w:eastAsia="pl-PL"/>
        </w:rPr>
        <w:t xml:space="preserve">wynajmowaniu lokali mieszkalnych. Prowadzenie </w:t>
      </w:r>
      <w:r w:rsidR="00E360DF" w:rsidRPr="0039474D">
        <w:rPr>
          <w:rFonts w:ascii="Times New Roman" w:eastAsia="Times New Roman" w:hAnsi="Times New Roman" w:cs="Times New Roman"/>
          <w:sz w:val="24"/>
          <w:szCs w:val="24"/>
          <w:lang w:eastAsia="pl-PL"/>
        </w:rPr>
        <w:t xml:space="preserve">takiej </w:t>
      </w:r>
      <w:r w:rsidR="00E75557" w:rsidRPr="0039474D">
        <w:rPr>
          <w:rFonts w:ascii="Times New Roman" w:eastAsia="Times New Roman" w:hAnsi="Times New Roman" w:cs="Times New Roman"/>
          <w:sz w:val="24"/>
          <w:szCs w:val="24"/>
          <w:lang w:eastAsia="pl-PL"/>
        </w:rPr>
        <w:t xml:space="preserve">działalności umożliwi – przy wykorzystaniu posiadanego już zasobu wiedzy i doświadczenia tych podmiotów w działaniach inwestycyjnych </w:t>
      </w:r>
      <w:r w:rsidR="00B379CD">
        <w:rPr>
          <w:rFonts w:ascii="Times New Roman" w:eastAsia="Times New Roman" w:hAnsi="Times New Roman" w:cs="Times New Roman"/>
          <w:sz w:val="24"/>
          <w:szCs w:val="24"/>
          <w:lang w:eastAsia="pl-PL"/>
        </w:rPr>
        <w:t>–</w:t>
      </w:r>
      <w:r w:rsidR="00E75557" w:rsidRPr="0039474D">
        <w:rPr>
          <w:rFonts w:ascii="Times New Roman" w:eastAsia="Times New Roman" w:hAnsi="Times New Roman" w:cs="Times New Roman"/>
          <w:sz w:val="24"/>
          <w:szCs w:val="24"/>
          <w:lang w:eastAsia="pl-PL"/>
        </w:rPr>
        <w:t xml:space="preserve"> zdobycie dodatkowej puli środków fina</w:t>
      </w:r>
      <w:r w:rsidR="004A5641" w:rsidRPr="0039474D">
        <w:rPr>
          <w:rFonts w:ascii="Times New Roman" w:eastAsia="Times New Roman" w:hAnsi="Times New Roman" w:cs="Times New Roman"/>
          <w:sz w:val="24"/>
          <w:szCs w:val="24"/>
          <w:lang w:eastAsia="pl-PL"/>
        </w:rPr>
        <w:t>nsowych na działania związane z</w:t>
      </w:r>
      <w:r w:rsidR="00F749A5">
        <w:rPr>
          <w:rFonts w:ascii="Times New Roman" w:eastAsia="Times New Roman" w:hAnsi="Times New Roman" w:cs="Times New Roman"/>
          <w:sz w:val="24"/>
          <w:szCs w:val="24"/>
          <w:lang w:eastAsia="pl-PL"/>
        </w:rPr>
        <w:t xml:space="preserve"> </w:t>
      </w:r>
      <w:r w:rsidR="00E75557" w:rsidRPr="0039474D">
        <w:rPr>
          <w:rFonts w:ascii="Times New Roman" w:eastAsia="Times New Roman" w:hAnsi="Times New Roman" w:cs="Times New Roman"/>
          <w:sz w:val="24"/>
          <w:szCs w:val="24"/>
          <w:lang w:eastAsia="pl-PL"/>
        </w:rPr>
        <w:t xml:space="preserve">wynajmem lokali mieszkalnych. </w:t>
      </w:r>
    </w:p>
    <w:p w:rsidR="00CD17D7" w:rsidRPr="0039474D" w:rsidRDefault="00E75557"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 xml:space="preserve">W </w:t>
      </w:r>
      <w:r w:rsidRPr="0039474D">
        <w:rPr>
          <w:rFonts w:ascii="Times New Roman" w:eastAsia="Times New Roman" w:hAnsi="Times New Roman" w:cs="Times New Roman"/>
          <w:b/>
          <w:spacing w:val="4"/>
          <w:sz w:val="24"/>
          <w:szCs w:val="24"/>
          <w:lang w:eastAsia="pl-PL"/>
        </w:rPr>
        <w:t>art. 28 ust. 2</w:t>
      </w:r>
      <w:r w:rsidRPr="0039474D">
        <w:rPr>
          <w:rFonts w:ascii="Times New Roman" w:eastAsia="Times New Roman" w:hAnsi="Times New Roman" w:cs="Times New Roman"/>
          <w:spacing w:val="4"/>
          <w:sz w:val="24"/>
          <w:szCs w:val="24"/>
          <w:lang w:eastAsia="pl-PL"/>
        </w:rPr>
        <w:t xml:space="preserve"> </w:t>
      </w:r>
      <w:r w:rsidR="00CD17D7" w:rsidRPr="0039474D">
        <w:rPr>
          <w:rFonts w:ascii="Times New Roman" w:eastAsia="Times New Roman" w:hAnsi="Times New Roman" w:cs="Times New Roman"/>
          <w:sz w:val="24"/>
          <w:szCs w:val="24"/>
          <w:lang w:eastAsia="pl-PL"/>
        </w:rPr>
        <w:t xml:space="preserve">w </w:t>
      </w:r>
      <w:r w:rsidR="00CD17D7" w:rsidRPr="0039474D">
        <w:rPr>
          <w:rFonts w:ascii="Times New Roman" w:eastAsia="Times New Roman" w:hAnsi="Times New Roman" w:cs="Times New Roman"/>
          <w:b/>
          <w:sz w:val="24"/>
          <w:szCs w:val="24"/>
          <w:lang w:eastAsia="pl-PL"/>
        </w:rPr>
        <w:t>pkt 2</w:t>
      </w:r>
      <w:r w:rsidR="00CD17D7" w:rsidRPr="0039474D">
        <w:rPr>
          <w:rFonts w:ascii="Times New Roman" w:eastAsia="Times New Roman" w:hAnsi="Times New Roman" w:cs="Times New Roman"/>
          <w:sz w:val="24"/>
          <w:szCs w:val="24"/>
          <w:lang w:eastAsia="pl-PL"/>
        </w:rPr>
        <w:t xml:space="preserve"> proponuje się </w:t>
      </w:r>
      <w:r w:rsidR="00CD17D7" w:rsidRPr="0039474D">
        <w:rPr>
          <w:rFonts w:ascii="Times New Roman" w:eastAsia="Times New Roman" w:hAnsi="Times New Roman" w:cs="Times New Roman"/>
          <w:spacing w:val="4"/>
          <w:sz w:val="24"/>
          <w:szCs w:val="24"/>
          <w:lang w:eastAsia="pl-PL"/>
        </w:rPr>
        <w:t>podwyższenie wartości maksymalnej stawki czynszu najmu w</w:t>
      </w:r>
      <w:r w:rsidR="00F749A5">
        <w:rPr>
          <w:rFonts w:ascii="Times New Roman" w:eastAsia="Times New Roman" w:hAnsi="Times New Roman" w:cs="Times New Roman"/>
          <w:spacing w:val="4"/>
          <w:sz w:val="24"/>
          <w:szCs w:val="24"/>
          <w:lang w:eastAsia="pl-PL"/>
        </w:rPr>
        <w:t xml:space="preserve"> </w:t>
      </w:r>
      <w:r w:rsidR="00CD17D7" w:rsidRPr="0039474D">
        <w:rPr>
          <w:rFonts w:ascii="Times New Roman" w:eastAsia="Times New Roman" w:hAnsi="Times New Roman" w:cs="Times New Roman"/>
          <w:spacing w:val="4"/>
          <w:sz w:val="24"/>
          <w:szCs w:val="24"/>
          <w:lang w:eastAsia="pl-PL"/>
        </w:rPr>
        <w:t xml:space="preserve">zasobach TBS-ów z 4% do 5% wartości odtworzeniowej, obliczonej </w:t>
      </w:r>
      <w:r w:rsidR="00CD17D7" w:rsidRPr="0039474D">
        <w:rPr>
          <w:rFonts w:ascii="Times New Roman" w:eastAsia="Times New Roman" w:hAnsi="Times New Roman" w:cs="Times New Roman"/>
          <w:spacing w:val="4"/>
          <w:sz w:val="24"/>
          <w:szCs w:val="24"/>
          <w:lang w:eastAsia="pl-PL"/>
        </w:rPr>
        <w:lastRenderedPageBreak/>
        <w:t>według przepisów ustawy z dnia 21 czerwca 2001 r. o ochronie praw lokatorów, mieszkaniowym zasobie gminy i</w:t>
      </w:r>
      <w:r w:rsidR="00F749A5">
        <w:rPr>
          <w:rFonts w:ascii="Times New Roman" w:eastAsia="Times New Roman" w:hAnsi="Times New Roman" w:cs="Times New Roman"/>
          <w:spacing w:val="4"/>
          <w:sz w:val="24"/>
          <w:szCs w:val="24"/>
          <w:lang w:eastAsia="pl-PL"/>
        </w:rPr>
        <w:t xml:space="preserve"> </w:t>
      </w:r>
      <w:r w:rsidR="00CD17D7" w:rsidRPr="0039474D">
        <w:rPr>
          <w:rFonts w:ascii="Times New Roman" w:eastAsia="Times New Roman" w:hAnsi="Times New Roman" w:cs="Times New Roman"/>
          <w:spacing w:val="4"/>
          <w:sz w:val="24"/>
          <w:szCs w:val="24"/>
          <w:lang w:eastAsia="pl-PL"/>
        </w:rPr>
        <w:t>o</w:t>
      </w:r>
      <w:r w:rsidR="00F749A5">
        <w:rPr>
          <w:rFonts w:ascii="Times New Roman" w:eastAsia="Times New Roman" w:hAnsi="Times New Roman" w:cs="Times New Roman"/>
          <w:spacing w:val="4"/>
          <w:sz w:val="24"/>
          <w:szCs w:val="24"/>
          <w:lang w:eastAsia="pl-PL"/>
        </w:rPr>
        <w:t xml:space="preserve"> </w:t>
      </w:r>
      <w:r w:rsidR="00CD17D7" w:rsidRPr="0039474D">
        <w:rPr>
          <w:rFonts w:ascii="Times New Roman" w:eastAsia="Times New Roman" w:hAnsi="Times New Roman" w:cs="Times New Roman"/>
          <w:spacing w:val="4"/>
          <w:sz w:val="24"/>
          <w:szCs w:val="24"/>
          <w:lang w:eastAsia="pl-PL"/>
        </w:rPr>
        <w:t>zmianie Kodeksu cywilnego (Dz. U. z 2014 r. poz.</w:t>
      </w:r>
      <w:r w:rsidR="008D10D8">
        <w:rPr>
          <w:rFonts w:ascii="Times New Roman" w:eastAsia="Times New Roman" w:hAnsi="Times New Roman" w:cs="Times New Roman"/>
          <w:spacing w:val="4"/>
          <w:sz w:val="24"/>
          <w:szCs w:val="24"/>
          <w:lang w:eastAsia="pl-PL"/>
        </w:rPr>
        <w:t> </w:t>
      </w:r>
      <w:r w:rsidR="00CD17D7" w:rsidRPr="0039474D">
        <w:rPr>
          <w:rFonts w:ascii="Times New Roman" w:eastAsia="Times New Roman" w:hAnsi="Times New Roman" w:cs="Times New Roman"/>
          <w:spacing w:val="4"/>
          <w:sz w:val="24"/>
          <w:szCs w:val="24"/>
          <w:lang w:eastAsia="pl-PL"/>
        </w:rPr>
        <w:t xml:space="preserve">150), </w:t>
      </w:r>
      <w:r w:rsidR="00CD17D7" w:rsidRPr="0039474D">
        <w:rPr>
          <w:rFonts w:ascii="Times New Roman" w:eastAsia="Times New Roman" w:hAnsi="Times New Roman" w:cs="Times New Roman"/>
          <w:sz w:val="24"/>
          <w:szCs w:val="24"/>
          <w:lang w:eastAsia="pl-PL"/>
        </w:rPr>
        <w:t>tj. do wysokości umożliwiającej finansowanie przedsięwzięć preferencyjnym kredytem udzielanym przez Bank Gospodarstwa Krajowego w ramach nowego programu. Analiza uwarunkowań związanych z wdrożeniem nowego instrumentu finansowania społecznego budownictwa czynszowego wskazuje na</w:t>
      </w:r>
      <w:r w:rsidR="00F749A5">
        <w:rPr>
          <w:rFonts w:ascii="Times New Roman" w:eastAsia="Times New Roman" w:hAnsi="Times New Roman" w:cs="Times New Roman"/>
          <w:sz w:val="24"/>
          <w:szCs w:val="24"/>
          <w:lang w:eastAsia="pl-PL"/>
        </w:rPr>
        <w:t xml:space="preserve"> </w:t>
      </w:r>
      <w:r w:rsidR="00CD17D7" w:rsidRPr="0039474D">
        <w:rPr>
          <w:rFonts w:ascii="Times New Roman" w:eastAsia="Times New Roman" w:hAnsi="Times New Roman" w:cs="Times New Roman"/>
          <w:sz w:val="24"/>
          <w:szCs w:val="24"/>
          <w:lang w:eastAsia="pl-PL"/>
        </w:rPr>
        <w:t>obecnie obowiązujący limit czynszu w zasobach TBS</w:t>
      </w:r>
      <w:r w:rsidR="00480349" w:rsidRPr="0039474D">
        <w:rPr>
          <w:rFonts w:ascii="Times New Roman" w:eastAsia="Times New Roman" w:hAnsi="Times New Roman" w:cs="Times New Roman"/>
          <w:sz w:val="24"/>
          <w:szCs w:val="24"/>
          <w:lang w:eastAsia="pl-PL"/>
        </w:rPr>
        <w:t>-ów</w:t>
      </w:r>
      <w:r w:rsidR="00CD17D7" w:rsidRPr="0039474D">
        <w:rPr>
          <w:rFonts w:ascii="Times New Roman" w:eastAsia="Times New Roman" w:hAnsi="Times New Roman" w:cs="Times New Roman"/>
          <w:sz w:val="24"/>
          <w:szCs w:val="24"/>
          <w:lang w:eastAsia="pl-PL"/>
        </w:rPr>
        <w:t xml:space="preserve">, jako na jedną z barier uruchomienia preferencyjnej akcji kredytowej przez Bank Gospodarstwa Krajowego. </w:t>
      </w:r>
      <w:r w:rsidR="00CD17D7" w:rsidRPr="0039474D">
        <w:rPr>
          <w:rFonts w:ascii="Times New Roman" w:eastAsia="Times New Roman" w:hAnsi="Times New Roman" w:cs="Times New Roman"/>
          <w:spacing w:val="4"/>
          <w:sz w:val="24"/>
          <w:szCs w:val="24"/>
          <w:lang w:eastAsia="pl-PL"/>
        </w:rPr>
        <w:t>Tak określony limit czynszu dotyczyłby wyłącznie lokali mieszkalnych, wybudowanych przez podmioty realizujące inwestycje (TBS-y, spółdzielnie mieszkaniowe, spółki gminne) przy wykorzystaniu finansowania w ramach realizacji rządowego programu popierania budownictwa mieszkaniowego.</w:t>
      </w:r>
      <w:r w:rsidR="005155CE" w:rsidRPr="0039474D">
        <w:rPr>
          <w:rFonts w:ascii="Times New Roman" w:eastAsia="Times New Roman" w:hAnsi="Times New Roman" w:cs="Times New Roman"/>
          <w:spacing w:val="4"/>
          <w:sz w:val="24"/>
          <w:szCs w:val="24"/>
          <w:lang w:eastAsia="pl-PL"/>
        </w:rPr>
        <w:t xml:space="preserve"> Do dotychczasowego zasobu mieszkań wybudowanych przy udziale środków budżetu państwa w </w:t>
      </w:r>
      <w:r w:rsidR="004B730F" w:rsidRPr="0039474D">
        <w:rPr>
          <w:rFonts w:ascii="Times New Roman" w:eastAsia="Times New Roman" w:hAnsi="Times New Roman" w:cs="Times New Roman"/>
          <w:spacing w:val="4"/>
          <w:sz w:val="24"/>
          <w:szCs w:val="24"/>
          <w:lang w:eastAsia="pl-PL"/>
        </w:rPr>
        <w:t>r</w:t>
      </w:r>
      <w:r w:rsidR="005155CE" w:rsidRPr="0039474D">
        <w:rPr>
          <w:rFonts w:ascii="Times New Roman" w:eastAsia="Times New Roman" w:hAnsi="Times New Roman" w:cs="Times New Roman"/>
          <w:spacing w:val="4"/>
          <w:sz w:val="24"/>
          <w:szCs w:val="24"/>
          <w:lang w:eastAsia="pl-PL"/>
        </w:rPr>
        <w:t>amach ustawy o niektórych formach popierania budownictwa mieszkaniowego stosuje się przepisy dotychcza</w:t>
      </w:r>
      <w:r w:rsidR="00F5508D">
        <w:rPr>
          <w:rFonts w:ascii="Times New Roman" w:eastAsia="Times New Roman" w:hAnsi="Times New Roman" w:cs="Times New Roman"/>
          <w:spacing w:val="4"/>
          <w:sz w:val="24"/>
          <w:szCs w:val="24"/>
          <w:lang w:eastAsia="pl-PL"/>
        </w:rPr>
        <w:t>sowe, ograniczające czynsz do 4</w:t>
      </w:r>
      <w:r w:rsidR="005155CE" w:rsidRPr="0039474D">
        <w:rPr>
          <w:rFonts w:ascii="Times New Roman" w:eastAsia="Times New Roman" w:hAnsi="Times New Roman" w:cs="Times New Roman"/>
          <w:spacing w:val="4"/>
          <w:sz w:val="24"/>
          <w:szCs w:val="24"/>
          <w:lang w:eastAsia="pl-PL"/>
        </w:rPr>
        <w:t>% wartości odtworzeniowej.</w:t>
      </w:r>
      <w:r w:rsidR="00F749A5">
        <w:rPr>
          <w:rFonts w:ascii="Times New Roman" w:eastAsia="Times New Roman" w:hAnsi="Times New Roman" w:cs="Times New Roman"/>
          <w:spacing w:val="4"/>
          <w:sz w:val="24"/>
          <w:szCs w:val="24"/>
          <w:lang w:eastAsia="pl-PL"/>
        </w:rPr>
        <w:t xml:space="preserve"> </w:t>
      </w:r>
    </w:p>
    <w:p w:rsidR="00A124D2" w:rsidRPr="0039474D" w:rsidRDefault="00A124D2" w:rsidP="0039474D">
      <w:pPr>
        <w:spacing w:before="120" w:after="0" w:line="360" w:lineRule="auto"/>
        <w:jc w:val="both"/>
        <w:rPr>
          <w:rFonts w:ascii="Times New Roman" w:hAnsi="Times New Roman" w:cs="Times New Roman"/>
          <w:spacing w:val="4"/>
          <w:sz w:val="24"/>
          <w:szCs w:val="24"/>
        </w:rPr>
      </w:pPr>
      <w:r w:rsidRPr="0039474D">
        <w:rPr>
          <w:rFonts w:ascii="Times New Roman" w:hAnsi="Times New Roman" w:cs="Times New Roman"/>
          <w:spacing w:val="4"/>
          <w:sz w:val="24"/>
          <w:szCs w:val="24"/>
        </w:rPr>
        <w:t>Poniższe zestawienie obrazuje wysokość maksymalnych czynszów w lokalach wybudowanych w ramach projektowanego programu wsparcia na tle przeciętnych stawek rynkowych w przykładowych lokalizacjach. Wskazane w tabeli stawki czynszu w przypadku społecznego budownictwa czynszowego dotyczą stawek maksymalnych.</w:t>
      </w:r>
    </w:p>
    <w:p w:rsidR="00A124D2" w:rsidRPr="005109E5" w:rsidRDefault="00A124D2" w:rsidP="005109E5">
      <w:pPr>
        <w:spacing w:after="0" w:line="240" w:lineRule="auto"/>
        <w:jc w:val="both"/>
        <w:rPr>
          <w:rFonts w:cs="Arial"/>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834"/>
        <w:gridCol w:w="1568"/>
        <w:gridCol w:w="1843"/>
        <w:gridCol w:w="2091"/>
      </w:tblGrid>
      <w:tr w:rsidR="00A124D2" w:rsidRPr="0039474D" w:rsidTr="001B2A2D">
        <w:trPr>
          <w:trHeight w:val="704"/>
          <w:jc w:val="center"/>
        </w:trPr>
        <w:tc>
          <w:tcPr>
            <w:tcW w:w="1384" w:type="dxa"/>
            <w:shd w:val="clear" w:color="auto" w:fill="D9D9D9" w:themeFill="background1" w:themeFillShade="D9"/>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Miasto</w:t>
            </w:r>
          </w:p>
        </w:tc>
        <w:tc>
          <w:tcPr>
            <w:tcW w:w="1134" w:type="dxa"/>
            <w:shd w:val="clear" w:color="auto" w:fill="D9D9D9" w:themeFill="background1" w:themeFillShade="D9"/>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 xml:space="preserve">Wartość </w:t>
            </w:r>
            <w:proofErr w:type="spellStart"/>
            <w:r w:rsidRPr="0039474D">
              <w:rPr>
                <w:rFonts w:ascii="Times New Roman" w:hAnsi="Times New Roman" w:cs="Times New Roman"/>
                <w:sz w:val="16"/>
                <w:szCs w:val="16"/>
              </w:rPr>
              <w:t>odtworz</w:t>
            </w:r>
            <w:proofErr w:type="spellEnd"/>
            <w:r w:rsidRPr="0039474D">
              <w:rPr>
                <w:rFonts w:ascii="Times New Roman" w:hAnsi="Times New Roman" w:cs="Times New Roman"/>
                <w:sz w:val="16"/>
                <w:szCs w:val="16"/>
              </w:rPr>
              <w:t>.</w:t>
            </w:r>
          </w:p>
        </w:tc>
        <w:tc>
          <w:tcPr>
            <w:tcW w:w="1834" w:type="dxa"/>
            <w:shd w:val="clear" w:color="auto" w:fill="D9D9D9" w:themeFill="background1" w:themeFillShade="D9"/>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u w:val="single"/>
              </w:rPr>
              <w:t xml:space="preserve">Maksymalna </w:t>
            </w:r>
            <w:r w:rsidRPr="0039474D">
              <w:rPr>
                <w:rFonts w:ascii="Times New Roman" w:hAnsi="Times New Roman" w:cs="Times New Roman"/>
                <w:sz w:val="16"/>
                <w:szCs w:val="16"/>
              </w:rPr>
              <w:t>stawka czynszu w bud. społecznym =5% wartości odtworzeniowej, zł/m</w:t>
            </w:r>
            <w:r w:rsidRPr="0039474D">
              <w:rPr>
                <w:rFonts w:ascii="Times New Roman" w:hAnsi="Times New Roman" w:cs="Times New Roman"/>
                <w:sz w:val="16"/>
                <w:szCs w:val="16"/>
                <w:vertAlign w:val="superscript"/>
              </w:rPr>
              <w:t>2</w:t>
            </w:r>
          </w:p>
        </w:tc>
        <w:tc>
          <w:tcPr>
            <w:tcW w:w="1568" w:type="dxa"/>
            <w:shd w:val="clear" w:color="auto" w:fill="D9D9D9" w:themeFill="background1" w:themeFillShade="D9"/>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u w:val="single"/>
              </w:rPr>
              <w:t xml:space="preserve">Przeciętna </w:t>
            </w:r>
            <w:r w:rsidRPr="0039474D">
              <w:rPr>
                <w:rFonts w:ascii="Times New Roman" w:hAnsi="Times New Roman" w:cs="Times New Roman"/>
                <w:sz w:val="16"/>
                <w:szCs w:val="16"/>
              </w:rPr>
              <w:t>wysokość stawki czynszu rynkowego, zł/m</w:t>
            </w:r>
            <w:r w:rsidRPr="0039474D">
              <w:rPr>
                <w:rFonts w:ascii="Times New Roman" w:hAnsi="Times New Roman" w:cs="Times New Roman"/>
                <w:sz w:val="16"/>
                <w:szCs w:val="16"/>
                <w:vertAlign w:val="superscript"/>
              </w:rPr>
              <w:t>2</w:t>
            </w:r>
          </w:p>
        </w:tc>
        <w:tc>
          <w:tcPr>
            <w:tcW w:w="1843" w:type="dxa"/>
            <w:shd w:val="clear" w:color="auto" w:fill="D9D9D9" w:themeFill="background1" w:themeFillShade="D9"/>
          </w:tcPr>
          <w:p w:rsidR="00A124D2" w:rsidRPr="0039474D" w:rsidRDefault="00A124D2" w:rsidP="005109E5">
            <w:pPr>
              <w:spacing w:after="0" w:line="240" w:lineRule="auto"/>
              <w:jc w:val="center"/>
              <w:rPr>
                <w:rFonts w:ascii="Times New Roman" w:hAnsi="Times New Roman" w:cs="Times New Roman"/>
                <w:spacing w:val="4"/>
                <w:sz w:val="16"/>
                <w:szCs w:val="16"/>
              </w:rPr>
            </w:pPr>
            <w:r w:rsidRPr="0039474D">
              <w:rPr>
                <w:rFonts w:ascii="Times New Roman" w:hAnsi="Times New Roman" w:cs="Times New Roman"/>
                <w:spacing w:val="4"/>
                <w:sz w:val="16"/>
                <w:szCs w:val="16"/>
                <w:u w:val="single"/>
              </w:rPr>
              <w:t xml:space="preserve">Maksymalna </w:t>
            </w:r>
            <w:r w:rsidRPr="0039474D">
              <w:rPr>
                <w:rFonts w:ascii="Times New Roman" w:hAnsi="Times New Roman" w:cs="Times New Roman"/>
                <w:spacing w:val="4"/>
                <w:sz w:val="16"/>
                <w:szCs w:val="16"/>
              </w:rPr>
              <w:t>wysokość czynszu w budownictwie społecznym w zł (mieszkanie – 50 m</w:t>
            </w:r>
            <w:r w:rsidRPr="0039474D">
              <w:rPr>
                <w:rFonts w:ascii="Times New Roman" w:hAnsi="Times New Roman" w:cs="Times New Roman"/>
                <w:spacing w:val="4"/>
                <w:sz w:val="16"/>
                <w:szCs w:val="16"/>
                <w:vertAlign w:val="superscript"/>
              </w:rPr>
              <w:t>2</w:t>
            </w:r>
            <w:r w:rsidRPr="0039474D">
              <w:rPr>
                <w:rFonts w:ascii="Times New Roman" w:hAnsi="Times New Roman" w:cs="Times New Roman"/>
                <w:spacing w:val="4"/>
                <w:sz w:val="16"/>
                <w:szCs w:val="16"/>
              </w:rPr>
              <w:t>)</w:t>
            </w:r>
          </w:p>
        </w:tc>
        <w:tc>
          <w:tcPr>
            <w:tcW w:w="2091" w:type="dxa"/>
            <w:shd w:val="clear" w:color="auto" w:fill="D9D9D9" w:themeFill="background1" w:themeFillShade="D9"/>
          </w:tcPr>
          <w:p w:rsidR="00A124D2" w:rsidRPr="0039474D" w:rsidRDefault="00A124D2" w:rsidP="005109E5">
            <w:pPr>
              <w:spacing w:after="0" w:line="240" w:lineRule="auto"/>
              <w:jc w:val="center"/>
              <w:rPr>
                <w:rFonts w:ascii="Times New Roman" w:hAnsi="Times New Roman" w:cs="Times New Roman"/>
                <w:spacing w:val="4"/>
                <w:sz w:val="16"/>
                <w:szCs w:val="16"/>
              </w:rPr>
            </w:pPr>
            <w:r w:rsidRPr="0039474D">
              <w:rPr>
                <w:rFonts w:ascii="Times New Roman" w:hAnsi="Times New Roman" w:cs="Times New Roman"/>
                <w:spacing w:val="4"/>
                <w:sz w:val="16"/>
                <w:szCs w:val="16"/>
                <w:u w:val="single"/>
              </w:rPr>
              <w:t xml:space="preserve">Przeciętna </w:t>
            </w:r>
            <w:r w:rsidRPr="0039474D">
              <w:rPr>
                <w:rFonts w:ascii="Times New Roman" w:hAnsi="Times New Roman" w:cs="Times New Roman"/>
                <w:spacing w:val="4"/>
                <w:sz w:val="16"/>
                <w:szCs w:val="16"/>
              </w:rPr>
              <w:t>wysokość czynszu rynkowego w zł (mieszkanie – 50 m</w:t>
            </w:r>
            <w:r w:rsidRPr="0039474D">
              <w:rPr>
                <w:rFonts w:ascii="Times New Roman" w:hAnsi="Times New Roman" w:cs="Times New Roman"/>
                <w:spacing w:val="4"/>
                <w:sz w:val="16"/>
                <w:szCs w:val="16"/>
                <w:vertAlign w:val="superscript"/>
              </w:rPr>
              <w:t>2</w:t>
            </w:r>
            <w:r w:rsidRPr="0039474D">
              <w:rPr>
                <w:rFonts w:ascii="Times New Roman" w:hAnsi="Times New Roman" w:cs="Times New Roman"/>
                <w:spacing w:val="4"/>
                <w:sz w:val="16"/>
                <w:szCs w:val="16"/>
              </w:rPr>
              <w:t>)</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Wrocław</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4 665,00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19,4</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30,8</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972</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1 540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Bydgoszcz</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4 057,00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16,9</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18,6</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845</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930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Lublin</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4 174,49</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17,4</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32,0</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870</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1 600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Zielona Góra</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3 684,00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15,4</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19,8</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768</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990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Łódź</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4 224,00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17,6</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25,0</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880</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1 250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Kraków</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4 573,00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19,1</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34,1</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953</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1 705</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Warszawa</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6 087,53</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25,4</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45,2</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1 268</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2 260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Opole</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3 254,00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13,6</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21,7</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678</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1 085</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Rzeszów</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3 651,00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15,2</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28,4</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761</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1 420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Gdańsk</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4 889,00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20,4</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31,5</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1 019</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1 575</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Katowice</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4 294,00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17,9</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29,0</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895</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1 450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Kielce</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4 182,92</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17,4</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21,4</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871</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1 070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Olsztyn</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4 855,00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20,2</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23,4</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1 011</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1 170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Poznań</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5 386,00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22,4</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26,8</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1 122</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1 340</w:t>
            </w:r>
          </w:p>
        </w:tc>
      </w:tr>
      <w:tr w:rsidR="00A124D2" w:rsidRPr="0039474D" w:rsidTr="001B2A2D">
        <w:trPr>
          <w:jc w:val="center"/>
        </w:trPr>
        <w:tc>
          <w:tcPr>
            <w:tcW w:w="1384" w:type="dxa"/>
            <w:shd w:val="clear" w:color="auto" w:fill="D9D9D9" w:themeFill="background1" w:themeFillShade="D9"/>
            <w:vAlign w:val="bottom"/>
          </w:tcPr>
          <w:p w:rsidR="00A124D2" w:rsidRPr="0039474D" w:rsidRDefault="00A124D2"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Szczecin</w:t>
            </w:r>
          </w:p>
        </w:tc>
        <w:tc>
          <w:tcPr>
            <w:tcW w:w="11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4 106,00</w:t>
            </w:r>
          </w:p>
        </w:tc>
        <w:tc>
          <w:tcPr>
            <w:tcW w:w="1834"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17,1</w:t>
            </w:r>
          </w:p>
        </w:tc>
        <w:tc>
          <w:tcPr>
            <w:tcW w:w="1568"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24,8</w:t>
            </w:r>
          </w:p>
        </w:tc>
        <w:tc>
          <w:tcPr>
            <w:tcW w:w="1843"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855</w:t>
            </w:r>
          </w:p>
        </w:tc>
        <w:tc>
          <w:tcPr>
            <w:tcW w:w="2091" w:type="dxa"/>
            <w:shd w:val="clear" w:color="auto" w:fill="auto"/>
            <w:vAlign w:val="center"/>
          </w:tcPr>
          <w:p w:rsidR="00A124D2" w:rsidRPr="0039474D" w:rsidRDefault="00A124D2"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1 240</w:t>
            </w:r>
          </w:p>
        </w:tc>
      </w:tr>
    </w:tbl>
    <w:p w:rsidR="00A124D2" w:rsidRPr="0039474D" w:rsidRDefault="00A124D2" w:rsidP="005109E5">
      <w:pPr>
        <w:spacing w:after="0" w:line="240" w:lineRule="auto"/>
        <w:jc w:val="both"/>
        <w:rPr>
          <w:rFonts w:ascii="Times New Roman" w:hAnsi="Times New Roman" w:cs="Times New Roman"/>
          <w:spacing w:val="4"/>
          <w:sz w:val="20"/>
          <w:szCs w:val="20"/>
        </w:rPr>
      </w:pPr>
      <w:r w:rsidRPr="0039474D">
        <w:rPr>
          <w:rFonts w:ascii="Times New Roman" w:hAnsi="Times New Roman" w:cs="Times New Roman"/>
          <w:spacing w:val="4"/>
          <w:sz w:val="20"/>
          <w:szCs w:val="20"/>
        </w:rPr>
        <w:t>Źródło: Dane Narodowego Banku Polski</w:t>
      </w:r>
      <w:r w:rsidR="00B379CD">
        <w:rPr>
          <w:rFonts w:ascii="Times New Roman" w:hAnsi="Times New Roman" w:cs="Times New Roman"/>
          <w:spacing w:val="4"/>
          <w:sz w:val="20"/>
          <w:szCs w:val="20"/>
        </w:rPr>
        <w:t>ego</w:t>
      </w:r>
      <w:r w:rsidRPr="0039474D">
        <w:rPr>
          <w:rFonts w:ascii="Times New Roman" w:hAnsi="Times New Roman" w:cs="Times New Roman"/>
          <w:spacing w:val="4"/>
          <w:sz w:val="20"/>
          <w:szCs w:val="20"/>
        </w:rPr>
        <w:t xml:space="preserve"> za I kwartał 2014 r. (przeciętne stawki czynszu na rynku komercyjnym)</w:t>
      </w:r>
    </w:p>
    <w:p w:rsidR="0039474D" w:rsidRDefault="0039474D" w:rsidP="005109E5">
      <w:pPr>
        <w:spacing w:after="120" w:line="240" w:lineRule="atLeast"/>
        <w:jc w:val="both"/>
        <w:rPr>
          <w:rFonts w:cs="Arial"/>
          <w:spacing w:val="4"/>
        </w:rPr>
      </w:pPr>
    </w:p>
    <w:p w:rsidR="00A124D2" w:rsidRPr="0039474D" w:rsidRDefault="00A124D2" w:rsidP="0039474D">
      <w:pPr>
        <w:spacing w:before="120" w:after="0" w:line="360" w:lineRule="auto"/>
        <w:jc w:val="both"/>
        <w:rPr>
          <w:rFonts w:ascii="Times New Roman" w:hAnsi="Times New Roman" w:cs="Times New Roman"/>
          <w:spacing w:val="4"/>
          <w:sz w:val="24"/>
          <w:szCs w:val="24"/>
        </w:rPr>
      </w:pPr>
      <w:r w:rsidRPr="0039474D">
        <w:rPr>
          <w:rFonts w:ascii="Times New Roman" w:hAnsi="Times New Roman" w:cs="Times New Roman"/>
          <w:spacing w:val="4"/>
          <w:sz w:val="24"/>
          <w:szCs w:val="24"/>
        </w:rPr>
        <w:t xml:space="preserve">Należy założyć, również w oparciu o dotychczasowe doświadczenia funkcjonowania systemu budownictwa społecznego w Polsce, że w większości przypadków realne stawki </w:t>
      </w:r>
      <w:r w:rsidRPr="0039474D">
        <w:rPr>
          <w:rFonts w:ascii="Times New Roman" w:hAnsi="Times New Roman" w:cs="Times New Roman"/>
          <w:spacing w:val="4"/>
          <w:sz w:val="24"/>
          <w:szCs w:val="24"/>
        </w:rPr>
        <w:lastRenderedPageBreak/>
        <w:t xml:space="preserve">w zasobie społecznym będą ustalane na niższym poziomie niż wartość maksymalna. Na wskazane w tabeli wyniki analizy wpływa również wysokość wartości odtworzeniowej, która w wariancie maksymalnym prawdopodobnie zawyża potencjalne stawki czynszu w budownictwie społecznym w tych miastach, w których wskaźnik odtworzeniowy jest obecnie uważany za relatywnie wysoki (Olsztyn, Poznań). </w:t>
      </w:r>
    </w:p>
    <w:p w:rsidR="00A92A7E" w:rsidRPr="0039474D" w:rsidRDefault="00E75557"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 xml:space="preserve">W </w:t>
      </w:r>
      <w:r w:rsidRPr="0039474D">
        <w:rPr>
          <w:rFonts w:ascii="Times New Roman" w:eastAsia="Times New Roman" w:hAnsi="Times New Roman" w:cs="Times New Roman"/>
          <w:b/>
          <w:spacing w:val="4"/>
          <w:sz w:val="24"/>
          <w:szCs w:val="24"/>
          <w:lang w:eastAsia="pl-PL"/>
        </w:rPr>
        <w:t xml:space="preserve">art. 29 </w:t>
      </w:r>
      <w:r w:rsidR="00BB6409" w:rsidRPr="0039474D">
        <w:rPr>
          <w:rFonts w:ascii="Times New Roman" w:eastAsia="Times New Roman" w:hAnsi="Times New Roman" w:cs="Times New Roman"/>
          <w:spacing w:val="4"/>
          <w:sz w:val="24"/>
          <w:szCs w:val="24"/>
          <w:lang w:eastAsia="pl-PL"/>
        </w:rPr>
        <w:t xml:space="preserve">w </w:t>
      </w:r>
      <w:r w:rsidR="00BB6409" w:rsidRPr="0039474D">
        <w:rPr>
          <w:rFonts w:ascii="Times New Roman" w:eastAsia="Times New Roman" w:hAnsi="Times New Roman" w:cs="Times New Roman"/>
          <w:b/>
          <w:spacing w:val="4"/>
          <w:sz w:val="24"/>
          <w:szCs w:val="24"/>
          <w:lang w:eastAsia="pl-PL"/>
        </w:rPr>
        <w:t>ust. 1</w:t>
      </w:r>
      <w:r w:rsidR="00BB6409" w:rsidRPr="0039474D">
        <w:rPr>
          <w:rFonts w:ascii="Times New Roman" w:eastAsia="Times New Roman" w:hAnsi="Times New Roman" w:cs="Times New Roman"/>
          <w:spacing w:val="4"/>
          <w:sz w:val="24"/>
          <w:szCs w:val="24"/>
          <w:lang w:eastAsia="pl-PL"/>
        </w:rPr>
        <w:t xml:space="preserve"> wprowadza się </w:t>
      </w:r>
      <w:r w:rsidR="006748FB" w:rsidRPr="0039474D">
        <w:rPr>
          <w:rFonts w:ascii="Times New Roman" w:eastAsia="Times New Roman" w:hAnsi="Times New Roman" w:cs="Times New Roman"/>
          <w:spacing w:val="4"/>
          <w:sz w:val="24"/>
          <w:szCs w:val="24"/>
          <w:lang w:eastAsia="pl-PL"/>
        </w:rPr>
        <w:t>z</w:t>
      </w:r>
      <w:r w:rsidR="00BB6409" w:rsidRPr="0039474D">
        <w:rPr>
          <w:rFonts w:ascii="Times New Roman" w:eastAsia="Times New Roman" w:hAnsi="Times New Roman" w:cs="Times New Roman"/>
          <w:spacing w:val="4"/>
          <w:sz w:val="24"/>
          <w:szCs w:val="24"/>
          <w:lang w:eastAsia="pl-PL"/>
        </w:rPr>
        <w:t>m</w:t>
      </w:r>
      <w:r w:rsidR="006748FB" w:rsidRPr="0039474D">
        <w:rPr>
          <w:rFonts w:ascii="Times New Roman" w:eastAsia="Times New Roman" w:hAnsi="Times New Roman" w:cs="Times New Roman"/>
          <w:spacing w:val="4"/>
          <w:sz w:val="24"/>
          <w:szCs w:val="24"/>
          <w:lang w:eastAsia="pl-PL"/>
        </w:rPr>
        <w:t>ia</w:t>
      </w:r>
      <w:r w:rsidR="00BB6409" w:rsidRPr="0039474D">
        <w:rPr>
          <w:rFonts w:ascii="Times New Roman" w:eastAsia="Times New Roman" w:hAnsi="Times New Roman" w:cs="Times New Roman"/>
          <w:spacing w:val="4"/>
          <w:sz w:val="24"/>
          <w:szCs w:val="24"/>
          <w:lang w:eastAsia="pl-PL"/>
        </w:rPr>
        <w:t xml:space="preserve">nę polegającą na umożliwieniu </w:t>
      </w:r>
      <w:r w:rsidR="008914B9" w:rsidRPr="0039474D">
        <w:rPr>
          <w:rFonts w:ascii="Times New Roman" w:eastAsia="Times New Roman" w:hAnsi="Times New Roman" w:cs="Times New Roman"/>
          <w:spacing w:val="4"/>
          <w:sz w:val="24"/>
          <w:szCs w:val="24"/>
          <w:lang w:eastAsia="pl-PL"/>
        </w:rPr>
        <w:t>również osobom</w:t>
      </w:r>
      <w:r w:rsidR="00F749A5">
        <w:rPr>
          <w:rFonts w:ascii="Times New Roman" w:eastAsia="Times New Roman" w:hAnsi="Times New Roman" w:cs="Times New Roman"/>
          <w:spacing w:val="4"/>
          <w:sz w:val="24"/>
          <w:szCs w:val="24"/>
          <w:lang w:eastAsia="pl-PL"/>
        </w:rPr>
        <w:t xml:space="preserve"> </w:t>
      </w:r>
      <w:r w:rsidR="0037595A" w:rsidRPr="0039474D">
        <w:rPr>
          <w:rFonts w:ascii="Times New Roman" w:eastAsia="Times New Roman" w:hAnsi="Times New Roman" w:cs="Times New Roman"/>
          <w:spacing w:val="4"/>
          <w:sz w:val="24"/>
          <w:szCs w:val="24"/>
          <w:lang w:eastAsia="pl-PL"/>
        </w:rPr>
        <w:t xml:space="preserve">fizycznym zawarcia z </w:t>
      </w:r>
      <w:r w:rsidR="00D06F6F" w:rsidRPr="0039474D">
        <w:rPr>
          <w:rFonts w:ascii="Times New Roman" w:eastAsia="Times New Roman" w:hAnsi="Times New Roman" w:cs="Times New Roman"/>
          <w:spacing w:val="4"/>
          <w:sz w:val="24"/>
          <w:szCs w:val="24"/>
          <w:lang w:eastAsia="pl-PL"/>
        </w:rPr>
        <w:t>TBS-em</w:t>
      </w:r>
      <w:r w:rsidR="0037595A" w:rsidRPr="0039474D">
        <w:rPr>
          <w:rFonts w:ascii="Times New Roman" w:eastAsia="Times New Roman" w:hAnsi="Times New Roman" w:cs="Times New Roman"/>
          <w:spacing w:val="4"/>
          <w:sz w:val="24"/>
          <w:szCs w:val="24"/>
          <w:lang w:eastAsia="pl-PL"/>
        </w:rPr>
        <w:t xml:space="preserve"> umowy w sprawie partycypacji</w:t>
      </w:r>
      <w:r w:rsidR="00D06F6F" w:rsidRPr="0039474D">
        <w:rPr>
          <w:rFonts w:ascii="Times New Roman" w:eastAsia="Times New Roman" w:hAnsi="Times New Roman" w:cs="Times New Roman"/>
          <w:spacing w:val="4"/>
          <w:sz w:val="24"/>
          <w:szCs w:val="24"/>
          <w:lang w:eastAsia="pl-PL"/>
        </w:rPr>
        <w:t xml:space="preserve"> </w:t>
      </w:r>
      <w:r w:rsidR="0037595A" w:rsidRPr="0039474D">
        <w:rPr>
          <w:rFonts w:ascii="Times New Roman" w:eastAsia="Times New Roman" w:hAnsi="Times New Roman" w:cs="Times New Roman"/>
          <w:spacing w:val="4"/>
          <w:sz w:val="24"/>
          <w:szCs w:val="24"/>
          <w:lang w:eastAsia="pl-PL"/>
        </w:rPr>
        <w:t>w kosztach budowy lokali</w:t>
      </w:r>
      <w:r w:rsidR="0037595A" w:rsidRPr="0039474D">
        <w:rPr>
          <w:rFonts w:ascii="Times New Roman" w:eastAsia="Times New Roman" w:hAnsi="Times New Roman" w:cs="Times New Roman"/>
          <w:b/>
          <w:spacing w:val="4"/>
          <w:sz w:val="24"/>
          <w:szCs w:val="24"/>
          <w:lang w:eastAsia="pl-PL"/>
        </w:rPr>
        <w:t xml:space="preserve"> </w:t>
      </w:r>
      <w:r w:rsidR="0037595A" w:rsidRPr="0039474D">
        <w:rPr>
          <w:rFonts w:ascii="Times New Roman" w:eastAsia="Times New Roman" w:hAnsi="Times New Roman" w:cs="Times New Roman"/>
          <w:spacing w:val="4"/>
          <w:sz w:val="24"/>
          <w:szCs w:val="24"/>
          <w:lang w:eastAsia="pl-PL"/>
        </w:rPr>
        <w:t>mieszkalnych, których najemcami będą ws</w:t>
      </w:r>
      <w:r w:rsidR="00D06F6F" w:rsidRPr="0039474D">
        <w:rPr>
          <w:rFonts w:ascii="Times New Roman" w:eastAsia="Times New Roman" w:hAnsi="Times New Roman" w:cs="Times New Roman"/>
          <w:spacing w:val="4"/>
          <w:sz w:val="24"/>
          <w:szCs w:val="24"/>
          <w:lang w:eastAsia="pl-PL"/>
        </w:rPr>
        <w:t>kazane przez nie osoby trzecie.</w:t>
      </w:r>
      <w:r w:rsidR="0037595A" w:rsidRPr="0039474D">
        <w:rPr>
          <w:rFonts w:ascii="Times New Roman" w:eastAsia="Times New Roman" w:hAnsi="Times New Roman" w:cs="Times New Roman"/>
          <w:spacing w:val="4"/>
          <w:sz w:val="24"/>
          <w:szCs w:val="24"/>
          <w:lang w:eastAsia="pl-PL"/>
        </w:rPr>
        <w:t xml:space="preserve"> </w:t>
      </w:r>
      <w:r w:rsidR="00D06F6F" w:rsidRPr="0039474D">
        <w:rPr>
          <w:rFonts w:ascii="Times New Roman" w:eastAsia="Times New Roman" w:hAnsi="Times New Roman" w:cs="Times New Roman"/>
          <w:spacing w:val="4"/>
          <w:sz w:val="24"/>
          <w:szCs w:val="24"/>
          <w:lang w:eastAsia="pl-PL"/>
        </w:rPr>
        <w:t>TBS-y</w:t>
      </w:r>
      <w:r w:rsidR="00941448" w:rsidRPr="0039474D">
        <w:rPr>
          <w:rFonts w:ascii="Times New Roman" w:eastAsia="Times New Roman" w:hAnsi="Times New Roman" w:cs="Times New Roman"/>
          <w:spacing w:val="4"/>
          <w:sz w:val="24"/>
          <w:szCs w:val="24"/>
          <w:lang w:eastAsia="pl-PL"/>
        </w:rPr>
        <w:t>,</w:t>
      </w:r>
      <w:r w:rsidR="00F749A5">
        <w:rPr>
          <w:rFonts w:ascii="Times New Roman" w:eastAsia="Times New Roman" w:hAnsi="Times New Roman" w:cs="Times New Roman"/>
          <w:spacing w:val="4"/>
          <w:sz w:val="24"/>
          <w:szCs w:val="24"/>
          <w:lang w:eastAsia="pl-PL"/>
        </w:rPr>
        <w:t xml:space="preserve"> </w:t>
      </w:r>
      <w:r w:rsidR="00941448" w:rsidRPr="0039474D">
        <w:rPr>
          <w:rFonts w:ascii="Times New Roman" w:eastAsia="Times New Roman" w:hAnsi="Times New Roman" w:cs="Times New Roman"/>
          <w:spacing w:val="4"/>
          <w:sz w:val="24"/>
          <w:szCs w:val="24"/>
          <w:lang w:eastAsia="pl-PL"/>
        </w:rPr>
        <w:t>prowadzące aktywn</w:t>
      </w:r>
      <w:r w:rsidR="00D65B7F" w:rsidRPr="0039474D">
        <w:rPr>
          <w:rFonts w:ascii="Times New Roman" w:eastAsia="Times New Roman" w:hAnsi="Times New Roman" w:cs="Times New Roman"/>
          <w:spacing w:val="4"/>
          <w:sz w:val="24"/>
          <w:szCs w:val="24"/>
          <w:lang w:eastAsia="pl-PL"/>
        </w:rPr>
        <w:t>ą</w:t>
      </w:r>
      <w:r w:rsidR="00941448" w:rsidRPr="0039474D">
        <w:rPr>
          <w:rFonts w:ascii="Times New Roman" w:eastAsia="Times New Roman" w:hAnsi="Times New Roman" w:cs="Times New Roman"/>
          <w:spacing w:val="4"/>
          <w:sz w:val="24"/>
          <w:szCs w:val="24"/>
          <w:lang w:eastAsia="pl-PL"/>
        </w:rPr>
        <w:t xml:space="preserve"> działalność w zakresie budownictwa mieszkaniowego na wynajem na zasadach określonych w ustawie o niektórych formach popierania budownictwa mieszkaniowego, wskazują, że istnieje zainteresowanie na tego typu finansowy udział w realizowanych przez nie przedsięwzięciach (przykładowo rodzice chętni partycypować w kosztach budowy lokalu dla dzieci)</w:t>
      </w:r>
      <w:r w:rsidR="00D65B7F" w:rsidRPr="0039474D">
        <w:rPr>
          <w:rFonts w:ascii="Times New Roman" w:eastAsia="Times New Roman" w:hAnsi="Times New Roman" w:cs="Times New Roman"/>
          <w:spacing w:val="4"/>
          <w:sz w:val="24"/>
          <w:szCs w:val="24"/>
          <w:lang w:eastAsia="pl-PL"/>
        </w:rPr>
        <w:t xml:space="preserve">. W opinii projektodawcy, dopuszczenie partycypacji fizycznych osób trzecich przyczyni się niewątpliwie do umożliwienia zamieszkania w zasobach </w:t>
      </w:r>
      <w:r w:rsidR="00D06F6F" w:rsidRPr="0039474D">
        <w:rPr>
          <w:rFonts w:ascii="Times New Roman" w:eastAsia="Times New Roman" w:hAnsi="Times New Roman" w:cs="Times New Roman"/>
          <w:spacing w:val="4"/>
          <w:sz w:val="24"/>
          <w:szCs w:val="24"/>
          <w:lang w:eastAsia="pl-PL"/>
        </w:rPr>
        <w:t>TBS</w:t>
      </w:r>
      <w:r w:rsidR="00480349" w:rsidRPr="0039474D">
        <w:rPr>
          <w:rFonts w:ascii="Times New Roman" w:eastAsia="Times New Roman" w:hAnsi="Times New Roman" w:cs="Times New Roman"/>
          <w:spacing w:val="4"/>
          <w:sz w:val="24"/>
          <w:szCs w:val="24"/>
          <w:lang w:eastAsia="pl-PL"/>
        </w:rPr>
        <w:t>-ów</w:t>
      </w:r>
      <w:r w:rsidR="00D65B7F" w:rsidRPr="0039474D">
        <w:rPr>
          <w:rFonts w:ascii="Times New Roman" w:eastAsia="Times New Roman" w:hAnsi="Times New Roman" w:cs="Times New Roman"/>
          <w:spacing w:val="4"/>
          <w:sz w:val="24"/>
          <w:szCs w:val="24"/>
          <w:lang w:eastAsia="pl-PL"/>
        </w:rPr>
        <w:t xml:space="preserve"> również tym osobom, których nie stać na wniesienie partycypacji</w:t>
      </w:r>
      <w:r w:rsidR="00A92A7E" w:rsidRPr="0039474D">
        <w:rPr>
          <w:rFonts w:ascii="Times New Roman" w:eastAsia="Times New Roman" w:hAnsi="Times New Roman" w:cs="Times New Roman"/>
          <w:spacing w:val="4"/>
          <w:sz w:val="24"/>
          <w:szCs w:val="24"/>
          <w:lang w:eastAsia="pl-PL"/>
        </w:rPr>
        <w:t>.</w:t>
      </w:r>
    </w:p>
    <w:p w:rsidR="00BB6409" w:rsidRPr="0039474D" w:rsidRDefault="008914B9"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Proponowana w</w:t>
      </w:r>
      <w:r w:rsidR="00355651" w:rsidRPr="0039474D">
        <w:rPr>
          <w:rFonts w:ascii="Times New Roman" w:eastAsia="Times New Roman" w:hAnsi="Times New Roman" w:cs="Times New Roman"/>
          <w:spacing w:val="4"/>
          <w:sz w:val="24"/>
          <w:szCs w:val="24"/>
          <w:lang w:eastAsia="pl-PL"/>
        </w:rPr>
        <w:t xml:space="preserve"> </w:t>
      </w:r>
      <w:r w:rsidR="001C2951" w:rsidRPr="0039474D">
        <w:rPr>
          <w:rFonts w:ascii="Times New Roman" w:eastAsia="Times New Roman" w:hAnsi="Times New Roman" w:cs="Times New Roman"/>
          <w:b/>
          <w:spacing w:val="4"/>
          <w:sz w:val="24"/>
          <w:szCs w:val="24"/>
          <w:lang w:eastAsia="pl-PL"/>
        </w:rPr>
        <w:t>art. 29 ust. 2</w:t>
      </w:r>
      <w:r w:rsidR="00355651" w:rsidRPr="0039474D">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zmiana polega na rozszerzeniu katalogu podmiotów uprawnionych do zawarcia z </w:t>
      </w:r>
      <w:r w:rsidR="00D06F6F" w:rsidRPr="0039474D">
        <w:rPr>
          <w:rFonts w:ascii="Times New Roman" w:eastAsia="Times New Roman" w:hAnsi="Times New Roman" w:cs="Times New Roman"/>
          <w:spacing w:val="4"/>
          <w:sz w:val="24"/>
          <w:szCs w:val="24"/>
          <w:lang w:eastAsia="pl-PL"/>
        </w:rPr>
        <w:t>TBS-em</w:t>
      </w:r>
      <w:r w:rsidRPr="0039474D">
        <w:rPr>
          <w:rFonts w:ascii="Times New Roman" w:eastAsia="Times New Roman" w:hAnsi="Times New Roman" w:cs="Times New Roman"/>
          <w:spacing w:val="4"/>
          <w:sz w:val="24"/>
          <w:szCs w:val="24"/>
          <w:lang w:eastAsia="pl-PL"/>
        </w:rPr>
        <w:t xml:space="preserve"> </w:t>
      </w:r>
      <w:r w:rsidR="00B949A3" w:rsidRPr="0039474D">
        <w:rPr>
          <w:rFonts w:ascii="Times New Roman" w:eastAsia="Times New Roman" w:hAnsi="Times New Roman" w:cs="Times New Roman"/>
          <w:spacing w:val="4"/>
          <w:sz w:val="24"/>
          <w:szCs w:val="24"/>
          <w:lang w:eastAsia="pl-PL"/>
        </w:rPr>
        <w:t xml:space="preserve">umowy </w:t>
      </w:r>
      <w:r w:rsidRPr="0039474D">
        <w:rPr>
          <w:rFonts w:ascii="Times New Roman" w:eastAsia="Times New Roman" w:hAnsi="Times New Roman" w:cs="Times New Roman"/>
          <w:spacing w:val="4"/>
          <w:sz w:val="24"/>
          <w:szCs w:val="24"/>
          <w:lang w:eastAsia="pl-PL"/>
        </w:rPr>
        <w:t>w sprawie partycypacji</w:t>
      </w:r>
      <w:r w:rsidR="00D06F6F" w:rsidRPr="0039474D">
        <w:rPr>
          <w:rFonts w:ascii="Times New Roman" w:eastAsia="Times New Roman" w:hAnsi="Times New Roman" w:cs="Times New Roman"/>
          <w:spacing w:val="4"/>
          <w:sz w:val="24"/>
          <w:szCs w:val="24"/>
          <w:lang w:eastAsia="pl-PL"/>
        </w:rPr>
        <w:t xml:space="preserve"> </w:t>
      </w:r>
      <w:r w:rsidR="00BD5F95" w:rsidRPr="0039474D">
        <w:rPr>
          <w:rFonts w:ascii="Times New Roman" w:eastAsia="Times New Roman" w:hAnsi="Times New Roman" w:cs="Times New Roman"/>
          <w:spacing w:val="4"/>
          <w:sz w:val="24"/>
          <w:szCs w:val="24"/>
          <w:lang w:eastAsia="pl-PL"/>
        </w:rPr>
        <w:t xml:space="preserve">w kosztach budowy lokalu, którego będzie najemcą, </w:t>
      </w:r>
      <w:r w:rsidRPr="0039474D">
        <w:rPr>
          <w:rFonts w:ascii="Times New Roman" w:eastAsia="Times New Roman" w:hAnsi="Times New Roman" w:cs="Times New Roman"/>
          <w:spacing w:val="4"/>
          <w:sz w:val="24"/>
          <w:szCs w:val="24"/>
          <w:lang w:eastAsia="pl-PL"/>
        </w:rPr>
        <w:t>w celu podnajmowania lub przydzia</w:t>
      </w:r>
      <w:r w:rsidR="00E566B4" w:rsidRPr="0039474D">
        <w:rPr>
          <w:rFonts w:ascii="Times New Roman" w:eastAsia="Times New Roman" w:hAnsi="Times New Roman" w:cs="Times New Roman"/>
          <w:spacing w:val="4"/>
          <w:sz w:val="24"/>
          <w:szCs w:val="24"/>
          <w:lang w:eastAsia="pl-PL"/>
        </w:rPr>
        <w:t>ł</w:t>
      </w:r>
      <w:r w:rsidRPr="0039474D">
        <w:rPr>
          <w:rFonts w:ascii="Times New Roman" w:eastAsia="Times New Roman" w:hAnsi="Times New Roman" w:cs="Times New Roman"/>
          <w:spacing w:val="4"/>
          <w:sz w:val="24"/>
          <w:szCs w:val="24"/>
          <w:lang w:eastAsia="pl-PL"/>
        </w:rPr>
        <w:t xml:space="preserve">u </w:t>
      </w:r>
      <w:r w:rsidR="00B949A3" w:rsidRPr="0039474D">
        <w:rPr>
          <w:rFonts w:ascii="Times New Roman" w:eastAsia="Times New Roman" w:hAnsi="Times New Roman" w:cs="Times New Roman"/>
          <w:spacing w:val="4"/>
          <w:sz w:val="24"/>
          <w:szCs w:val="24"/>
          <w:lang w:eastAsia="pl-PL"/>
        </w:rPr>
        <w:t>lokali mieszkalnych osobom fizycznym,</w:t>
      </w:r>
      <w:r w:rsidRPr="0039474D">
        <w:rPr>
          <w:rFonts w:ascii="Times New Roman" w:eastAsia="Times New Roman" w:hAnsi="Times New Roman" w:cs="Times New Roman"/>
          <w:spacing w:val="4"/>
          <w:sz w:val="24"/>
          <w:szCs w:val="24"/>
          <w:lang w:eastAsia="pl-PL"/>
        </w:rPr>
        <w:t xml:space="preserve"> o agencję wykonawczą. </w:t>
      </w:r>
      <w:r w:rsidR="001C2951" w:rsidRPr="0039474D">
        <w:rPr>
          <w:rFonts w:ascii="Times New Roman" w:eastAsia="Times New Roman" w:hAnsi="Times New Roman" w:cs="Times New Roman"/>
          <w:spacing w:val="4"/>
          <w:sz w:val="24"/>
          <w:szCs w:val="24"/>
          <w:lang w:eastAsia="pl-PL"/>
        </w:rPr>
        <w:t xml:space="preserve">Zmiana ta jest podyktowana faktem, że system funkcjonowania </w:t>
      </w:r>
      <w:r w:rsidR="00D06F6F" w:rsidRPr="0039474D">
        <w:rPr>
          <w:rFonts w:ascii="Times New Roman" w:eastAsia="Times New Roman" w:hAnsi="Times New Roman" w:cs="Times New Roman"/>
          <w:spacing w:val="4"/>
          <w:sz w:val="24"/>
          <w:szCs w:val="24"/>
          <w:lang w:eastAsia="pl-PL"/>
        </w:rPr>
        <w:t xml:space="preserve">TBS-ów </w:t>
      </w:r>
      <w:r w:rsidR="001C2951" w:rsidRPr="0039474D">
        <w:rPr>
          <w:rFonts w:ascii="Times New Roman" w:eastAsia="Times New Roman" w:hAnsi="Times New Roman" w:cs="Times New Roman"/>
          <w:spacing w:val="4"/>
          <w:sz w:val="24"/>
          <w:szCs w:val="24"/>
          <w:lang w:eastAsia="pl-PL"/>
        </w:rPr>
        <w:t>w powiązaniu ze szczególnymi zapisami ustawy z dnia 22 czerwca 1995 r. o zakwaterowaniu Sił Zbrojnych Rzecz</w:t>
      </w:r>
      <w:r w:rsidR="00B379CD">
        <w:rPr>
          <w:rFonts w:ascii="Times New Roman" w:eastAsia="Times New Roman" w:hAnsi="Times New Roman" w:cs="Times New Roman"/>
          <w:spacing w:val="4"/>
          <w:sz w:val="24"/>
          <w:szCs w:val="24"/>
          <w:lang w:eastAsia="pl-PL"/>
        </w:rPr>
        <w:t>y</w:t>
      </w:r>
      <w:r w:rsidR="001C2951" w:rsidRPr="0039474D">
        <w:rPr>
          <w:rFonts w:ascii="Times New Roman" w:eastAsia="Times New Roman" w:hAnsi="Times New Roman" w:cs="Times New Roman"/>
          <w:spacing w:val="4"/>
          <w:sz w:val="24"/>
          <w:szCs w:val="24"/>
          <w:lang w:eastAsia="pl-PL"/>
        </w:rPr>
        <w:t>pospolitej Polskiej (Dz. U. z 2010 r. Nr 206, poz. 1367,</w:t>
      </w:r>
      <w:r w:rsidR="00A80FFD" w:rsidRPr="0039474D">
        <w:rPr>
          <w:rFonts w:ascii="Times New Roman" w:eastAsia="Times New Roman" w:hAnsi="Times New Roman" w:cs="Times New Roman"/>
          <w:spacing w:val="4"/>
          <w:sz w:val="24"/>
          <w:szCs w:val="24"/>
          <w:lang w:eastAsia="pl-PL"/>
        </w:rPr>
        <w:t xml:space="preserve"> </w:t>
      </w:r>
      <w:r w:rsidR="001C2951" w:rsidRPr="0039474D">
        <w:rPr>
          <w:rFonts w:ascii="Times New Roman" w:eastAsia="Times New Roman" w:hAnsi="Times New Roman" w:cs="Times New Roman"/>
          <w:spacing w:val="4"/>
          <w:sz w:val="24"/>
          <w:szCs w:val="24"/>
          <w:lang w:eastAsia="pl-PL"/>
        </w:rPr>
        <w:t>z późn. zm.),</w:t>
      </w:r>
      <w:r w:rsidR="00F749A5">
        <w:rPr>
          <w:rFonts w:ascii="Times New Roman" w:eastAsia="Times New Roman" w:hAnsi="Times New Roman" w:cs="Times New Roman"/>
          <w:spacing w:val="4"/>
          <w:sz w:val="24"/>
          <w:szCs w:val="24"/>
          <w:lang w:eastAsia="pl-PL"/>
        </w:rPr>
        <w:t xml:space="preserve"> </w:t>
      </w:r>
      <w:r w:rsidR="001C2951" w:rsidRPr="0039474D">
        <w:rPr>
          <w:rFonts w:ascii="Times New Roman" w:eastAsia="Times New Roman" w:hAnsi="Times New Roman" w:cs="Times New Roman"/>
          <w:spacing w:val="4"/>
          <w:sz w:val="24"/>
          <w:szCs w:val="24"/>
          <w:lang w:eastAsia="pl-PL"/>
        </w:rPr>
        <w:t xml:space="preserve">powinien przewidywać dla państwowych agencji wykonawczych, a taką jest przykładowo Wojskowa Agencja Mieszkaniowa, powołana do realizacji zadań </w:t>
      </w:r>
      <w:r w:rsidR="00B379CD">
        <w:rPr>
          <w:rFonts w:ascii="Times New Roman" w:eastAsia="Times New Roman" w:hAnsi="Times New Roman" w:cs="Times New Roman"/>
          <w:spacing w:val="4"/>
          <w:sz w:val="24"/>
          <w:szCs w:val="24"/>
          <w:lang w:eastAsia="pl-PL"/>
        </w:rPr>
        <w:t>p</w:t>
      </w:r>
      <w:r w:rsidR="001C2951" w:rsidRPr="0039474D">
        <w:rPr>
          <w:rFonts w:ascii="Times New Roman" w:eastAsia="Times New Roman" w:hAnsi="Times New Roman" w:cs="Times New Roman"/>
          <w:spacing w:val="4"/>
          <w:sz w:val="24"/>
          <w:szCs w:val="24"/>
          <w:lang w:eastAsia="pl-PL"/>
        </w:rPr>
        <w:t>aństwa w zakresie zakwaterowania żołnierzy, podobne uprawnienia jak dla pozostałych podmiotów, które ustawa</w:t>
      </w:r>
      <w:r w:rsidR="00A80FFD" w:rsidRPr="0039474D">
        <w:rPr>
          <w:rFonts w:ascii="Times New Roman" w:eastAsia="Times New Roman" w:hAnsi="Times New Roman" w:cs="Times New Roman"/>
          <w:spacing w:val="4"/>
          <w:sz w:val="24"/>
          <w:szCs w:val="24"/>
          <w:lang w:eastAsia="pl-PL"/>
        </w:rPr>
        <w:t xml:space="preserve"> </w:t>
      </w:r>
      <w:r w:rsidR="001C2951" w:rsidRPr="0039474D">
        <w:rPr>
          <w:rFonts w:ascii="Times New Roman" w:eastAsia="Times New Roman" w:hAnsi="Times New Roman" w:cs="Times New Roman"/>
          <w:spacing w:val="4"/>
          <w:sz w:val="24"/>
          <w:szCs w:val="24"/>
          <w:lang w:eastAsia="pl-PL"/>
        </w:rPr>
        <w:t xml:space="preserve">o niektórych formach popierania budownictwa mieszkaniowego uznaje za podmioty odpowiedzialne za </w:t>
      </w:r>
      <w:r w:rsidR="00BD5F95" w:rsidRPr="0039474D">
        <w:rPr>
          <w:rFonts w:ascii="Times New Roman" w:eastAsia="Times New Roman" w:hAnsi="Times New Roman" w:cs="Times New Roman"/>
          <w:spacing w:val="4"/>
          <w:sz w:val="24"/>
          <w:szCs w:val="24"/>
          <w:lang w:eastAsia="pl-PL"/>
        </w:rPr>
        <w:t xml:space="preserve">realizację </w:t>
      </w:r>
      <w:r w:rsidR="001C2951" w:rsidRPr="0039474D">
        <w:rPr>
          <w:rFonts w:ascii="Times New Roman" w:eastAsia="Times New Roman" w:hAnsi="Times New Roman" w:cs="Times New Roman"/>
          <w:spacing w:val="4"/>
          <w:sz w:val="24"/>
          <w:szCs w:val="24"/>
          <w:lang w:eastAsia="pl-PL"/>
        </w:rPr>
        <w:t>lokaln</w:t>
      </w:r>
      <w:r w:rsidR="00BD5F95" w:rsidRPr="0039474D">
        <w:rPr>
          <w:rFonts w:ascii="Times New Roman" w:eastAsia="Times New Roman" w:hAnsi="Times New Roman" w:cs="Times New Roman"/>
          <w:spacing w:val="4"/>
          <w:sz w:val="24"/>
          <w:szCs w:val="24"/>
          <w:lang w:eastAsia="pl-PL"/>
        </w:rPr>
        <w:t>ej</w:t>
      </w:r>
      <w:r w:rsidR="001C2951" w:rsidRPr="0039474D">
        <w:rPr>
          <w:rFonts w:ascii="Times New Roman" w:eastAsia="Times New Roman" w:hAnsi="Times New Roman" w:cs="Times New Roman"/>
          <w:spacing w:val="4"/>
          <w:sz w:val="24"/>
          <w:szCs w:val="24"/>
          <w:lang w:eastAsia="pl-PL"/>
        </w:rPr>
        <w:t xml:space="preserve"> polityk</w:t>
      </w:r>
      <w:r w:rsidR="00BD5F95" w:rsidRPr="0039474D">
        <w:rPr>
          <w:rFonts w:ascii="Times New Roman" w:eastAsia="Times New Roman" w:hAnsi="Times New Roman" w:cs="Times New Roman"/>
          <w:spacing w:val="4"/>
          <w:sz w:val="24"/>
          <w:szCs w:val="24"/>
          <w:lang w:eastAsia="pl-PL"/>
        </w:rPr>
        <w:t>i</w:t>
      </w:r>
      <w:r w:rsidR="001C2951" w:rsidRPr="0039474D">
        <w:rPr>
          <w:rFonts w:ascii="Times New Roman" w:eastAsia="Times New Roman" w:hAnsi="Times New Roman" w:cs="Times New Roman"/>
          <w:spacing w:val="4"/>
          <w:sz w:val="24"/>
          <w:szCs w:val="24"/>
          <w:lang w:eastAsia="pl-PL"/>
        </w:rPr>
        <w:t xml:space="preserve"> mieszkaniow</w:t>
      </w:r>
      <w:r w:rsidR="00BD5F95" w:rsidRPr="0039474D">
        <w:rPr>
          <w:rFonts w:ascii="Times New Roman" w:eastAsia="Times New Roman" w:hAnsi="Times New Roman" w:cs="Times New Roman"/>
          <w:spacing w:val="4"/>
          <w:sz w:val="24"/>
          <w:szCs w:val="24"/>
          <w:lang w:eastAsia="pl-PL"/>
        </w:rPr>
        <w:t>ej</w:t>
      </w:r>
      <w:r w:rsidR="001C2951" w:rsidRPr="0039474D">
        <w:rPr>
          <w:rFonts w:ascii="Times New Roman" w:eastAsia="Times New Roman" w:hAnsi="Times New Roman" w:cs="Times New Roman"/>
          <w:spacing w:val="4"/>
          <w:sz w:val="24"/>
          <w:szCs w:val="24"/>
          <w:lang w:eastAsia="pl-PL"/>
        </w:rPr>
        <w:t>.</w:t>
      </w:r>
    </w:p>
    <w:p w:rsidR="00BB6409" w:rsidRPr="0039474D" w:rsidRDefault="00E566B4"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Konsekw</w:t>
      </w:r>
      <w:r w:rsidR="00E4745E" w:rsidRPr="0039474D">
        <w:rPr>
          <w:rFonts w:ascii="Times New Roman" w:eastAsia="Times New Roman" w:hAnsi="Times New Roman" w:cs="Times New Roman"/>
          <w:spacing w:val="4"/>
          <w:sz w:val="24"/>
          <w:szCs w:val="24"/>
          <w:lang w:eastAsia="pl-PL"/>
        </w:rPr>
        <w:t>entnie do przyjętego powyżej założ</w:t>
      </w:r>
      <w:r w:rsidRPr="0039474D">
        <w:rPr>
          <w:rFonts w:ascii="Times New Roman" w:eastAsia="Times New Roman" w:hAnsi="Times New Roman" w:cs="Times New Roman"/>
          <w:spacing w:val="4"/>
          <w:sz w:val="24"/>
          <w:szCs w:val="24"/>
          <w:lang w:eastAsia="pl-PL"/>
        </w:rPr>
        <w:t>enia</w:t>
      </w:r>
      <w:r w:rsidR="00BD5F95" w:rsidRPr="0039474D">
        <w:rPr>
          <w:rFonts w:ascii="Times New Roman" w:eastAsia="Times New Roman" w:hAnsi="Times New Roman" w:cs="Times New Roman"/>
          <w:spacing w:val="4"/>
          <w:sz w:val="24"/>
          <w:szCs w:val="24"/>
          <w:lang w:eastAsia="pl-PL"/>
        </w:rPr>
        <w:t>,</w:t>
      </w:r>
      <w:r w:rsidRPr="0039474D">
        <w:rPr>
          <w:rFonts w:ascii="Times New Roman" w:eastAsia="Times New Roman" w:hAnsi="Times New Roman" w:cs="Times New Roman"/>
          <w:spacing w:val="4"/>
          <w:sz w:val="24"/>
          <w:szCs w:val="24"/>
          <w:lang w:eastAsia="pl-PL"/>
        </w:rPr>
        <w:t xml:space="preserve"> w </w:t>
      </w:r>
      <w:r w:rsidRPr="0039474D">
        <w:rPr>
          <w:rFonts w:ascii="Times New Roman" w:eastAsia="Times New Roman" w:hAnsi="Times New Roman" w:cs="Times New Roman"/>
          <w:b/>
          <w:spacing w:val="4"/>
          <w:sz w:val="24"/>
          <w:szCs w:val="24"/>
          <w:lang w:eastAsia="pl-PL"/>
        </w:rPr>
        <w:t>art. 29 ust. 3</w:t>
      </w:r>
      <w:r w:rsidRPr="0039474D">
        <w:rPr>
          <w:rFonts w:ascii="Times New Roman" w:eastAsia="Times New Roman" w:hAnsi="Times New Roman" w:cs="Times New Roman"/>
          <w:spacing w:val="4"/>
          <w:sz w:val="24"/>
          <w:szCs w:val="24"/>
          <w:lang w:eastAsia="pl-PL"/>
        </w:rPr>
        <w:t xml:space="preserve">, doprecyzowano, że podnajmowanie </w:t>
      </w:r>
      <w:r w:rsidR="00E4745E" w:rsidRPr="0039474D">
        <w:rPr>
          <w:rFonts w:ascii="Times New Roman" w:eastAsia="Times New Roman" w:hAnsi="Times New Roman" w:cs="Times New Roman"/>
          <w:spacing w:val="4"/>
          <w:sz w:val="24"/>
          <w:szCs w:val="24"/>
          <w:lang w:eastAsia="pl-PL"/>
        </w:rPr>
        <w:t>lub przydział przez</w:t>
      </w:r>
      <w:r w:rsidRPr="0039474D">
        <w:rPr>
          <w:rFonts w:ascii="Times New Roman" w:eastAsia="Times New Roman" w:hAnsi="Times New Roman" w:cs="Times New Roman"/>
          <w:spacing w:val="4"/>
          <w:sz w:val="24"/>
          <w:szCs w:val="24"/>
          <w:lang w:eastAsia="pl-PL"/>
        </w:rPr>
        <w:t xml:space="preserve"> agencję </w:t>
      </w:r>
      <w:r w:rsidR="00E4745E" w:rsidRPr="0039474D">
        <w:rPr>
          <w:rFonts w:ascii="Times New Roman" w:eastAsia="Times New Roman" w:hAnsi="Times New Roman" w:cs="Times New Roman"/>
          <w:spacing w:val="4"/>
          <w:sz w:val="24"/>
          <w:szCs w:val="24"/>
          <w:lang w:eastAsia="pl-PL"/>
        </w:rPr>
        <w:t>wykonawczą lokalu mieszkalnego, nie wymaga zgody towarzystwa</w:t>
      </w:r>
      <w:r w:rsidR="004A6D34" w:rsidRPr="0039474D">
        <w:rPr>
          <w:rFonts w:ascii="Times New Roman" w:eastAsia="Times New Roman" w:hAnsi="Times New Roman" w:cs="Times New Roman"/>
          <w:spacing w:val="4"/>
          <w:sz w:val="24"/>
          <w:szCs w:val="24"/>
          <w:lang w:eastAsia="pl-PL"/>
        </w:rPr>
        <w:t xml:space="preserve"> </w:t>
      </w:r>
      <w:r w:rsidR="00B379CD">
        <w:rPr>
          <w:rFonts w:ascii="Times New Roman" w:eastAsia="Times New Roman" w:hAnsi="Times New Roman" w:cs="Times New Roman"/>
          <w:spacing w:val="4"/>
          <w:sz w:val="24"/>
          <w:szCs w:val="24"/>
          <w:lang w:eastAsia="pl-PL"/>
        </w:rPr>
        <w:t>–</w:t>
      </w:r>
      <w:r w:rsidR="004A6D34" w:rsidRPr="0039474D">
        <w:rPr>
          <w:rFonts w:ascii="Times New Roman" w:eastAsia="Times New Roman" w:hAnsi="Times New Roman" w:cs="Times New Roman"/>
          <w:spacing w:val="4"/>
          <w:sz w:val="24"/>
          <w:szCs w:val="24"/>
          <w:lang w:eastAsia="pl-PL"/>
        </w:rPr>
        <w:t xml:space="preserve"> z wyłączeniem lokali wybudowanych przy udziale finansowania na podstawie nowego art. 15a ustawy</w:t>
      </w:r>
      <w:r w:rsidR="00E4745E" w:rsidRPr="0039474D">
        <w:rPr>
          <w:rFonts w:ascii="Times New Roman" w:eastAsia="Times New Roman" w:hAnsi="Times New Roman" w:cs="Times New Roman"/>
          <w:spacing w:val="4"/>
          <w:sz w:val="24"/>
          <w:szCs w:val="24"/>
          <w:lang w:eastAsia="pl-PL"/>
        </w:rPr>
        <w:t xml:space="preserve">. </w:t>
      </w:r>
    </w:p>
    <w:p w:rsidR="004C5BCC" w:rsidRPr="0039474D" w:rsidRDefault="004C5BCC"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 xml:space="preserve">Kolejna zmiana polega na propozycji obniżenia w </w:t>
      </w:r>
      <w:r w:rsidRPr="0039474D">
        <w:rPr>
          <w:rFonts w:ascii="Times New Roman" w:eastAsia="Times New Roman" w:hAnsi="Times New Roman" w:cs="Times New Roman"/>
          <w:b/>
          <w:spacing w:val="4"/>
          <w:sz w:val="24"/>
          <w:szCs w:val="24"/>
          <w:lang w:eastAsia="pl-PL"/>
        </w:rPr>
        <w:t>art. 29a ust. 2</w:t>
      </w:r>
      <w:r w:rsidRPr="0039474D">
        <w:rPr>
          <w:rFonts w:ascii="Times New Roman" w:eastAsia="Times New Roman" w:hAnsi="Times New Roman" w:cs="Times New Roman"/>
          <w:spacing w:val="4"/>
          <w:sz w:val="24"/>
          <w:szCs w:val="24"/>
          <w:lang w:eastAsia="pl-PL"/>
        </w:rPr>
        <w:t xml:space="preserve"> maksymalnej kwoty partycypacji własnej z 30% do</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20% kosztów budowy lokalu mieszkalnego, połączonej z </w:t>
      </w:r>
      <w:r w:rsidRPr="0039474D">
        <w:rPr>
          <w:rFonts w:ascii="Times New Roman" w:eastAsia="Times New Roman" w:hAnsi="Times New Roman" w:cs="Times New Roman"/>
          <w:spacing w:val="4"/>
          <w:sz w:val="24"/>
          <w:szCs w:val="24"/>
          <w:lang w:eastAsia="pl-PL"/>
        </w:rPr>
        <w:lastRenderedPageBreak/>
        <w:t xml:space="preserve">zasadą limitowania w ustawie maksymalnej wysokości partycypacji własnej przyszłego lokatora wyłącznie do przedsięwzięć inwestycyjno-budowlanych realizowanych w ramach nowego programu wsparcia społecznego budownictwa czynszowego. </w:t>
      </w:r>
    </w:p>
    <w:p w:rsidR="00040C26" w:rsidRPr="0039474D" w:rsidRDefault="00040C26" w:rsidP="0039474D">
      <w:pPr>
        <w:spacing w:before="120" w:after="0" w:line="360" w:lineRule="auto"/>
        <w:jc w:val="both"/>
        <w:rPr>
          <w:rFonts w:ascii="Times New Roman" w:hAnsi="Times New Roman" w:cs="Times New Roman"/>
          <w:spacing w:val="4"/>
          <w:sz w:val="24"/>
          <w:szCs w:val="24"/>
        </w:rPr>
      </w:pPr>
      <w:r w:rsidRPr="0039474D">
        <w:rPr>
          <w:rFonts w:ascii="Times New Roman" w:hAnsi="Times New Roman" w:cs="Times New Roman"/>
          <w:spacing w:val="4"/>
          <w:sz w:val="24"/>
          <w:szCs w:val="24"/>
        </w:rPr>
        <w:t xml:space="preserve">Informacje zawarte w poniższej tabeli obrazują relację zachodzącą pomiędzy obciążeniami najemcy: miesięcznymi z tytułu czynszów oraz jednorazowymi z tytułu ew. partycypacji w kosztach budowy mieszkania na etapie montażu finansowego przedsięwzięcia. Ponieważ bieżące obciążenia związane z zapewnieniem terminowej obsługi kredytu zaciągniętego przez inwestora w Banku Gospodarstwa Krajowego bezpośrednio wpływają na wysokość czynszu, dla oceny wpływu różnych poziomów partycypacji własnej lokatora na wysokość opłat czynszowych przyjęte zostało założenie, zgodnie z którym brak lub niższa kwota partycypacji w kosztach budowy skutkowała będzie koniecznością zaciągnięcia wyższego kredytu pokrywającego te koszty. </w:t>
      </w:r>
    </w:p>
    <w:p w:rsidR="005109E5" w:rsidRPr="005109E5" w:rsidRDefault="005109E5" w:rsidP="005109E5">
      <w:pPr>
        <w:spacing w:after="0" w:line="240" w:lineRule="auto"/>
        <w:jc w:val="both"/>
        <w:rPr>
          <w:rFonts w:cs="Arial"/>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2551"/>
        <w:gridCol w:w="2693"/>
      </w:tblGrid>
      <w:tr w:rsidR="00040C26" w:rsidRPr="0039474D" w:rsidTr="001B2A2D">
        <w:trPr>
          <w:trHeight w:val="704"/>
          <w:jc w:val="center"/>
        </w:trPr>
        <w:tc>
          <w:tcPr>
            <w:tcW w:w="1384" w:type="dxa"/>
            <w:shd w:val="clear" w:color="auto" w:fill="D9D9D9" w:themeFill="background1" w:themeFillShade="D9"/>
          </w:tcPr>
          <w:p w:rsidR="00040C26" w:rsidRPr="0039474D" w:rsidRDefault="00040C26" w:rsidP="005109E5">
            <w:pPr>
              <w:spacing w:after="0" w:line="240" w:lineRule="auto"/>
              <w:jc w:val="center"/>
              <w:rPr>
                <w:rFonts w:ascii="Times New Roman" w:hAnsi="Times New Roman" w:cs="Times New Roman"/>
                <w:sz w:val="16"/>
                <w:szCs w:val="16"/>
              </w:rPr>
            </w:pPr>
            <w:r w:rsidRPr="0039474D">
              <w:rPr>
                <w:rFonts w:ascii="Times New Roman" w:hAnsi="Times New Roman" w:cs="Times New Roman"/>
                <w:sz w:val="16"/>
                <w:szCs w:val="16"/>
              </w:rPr>
              <w:t>Miasto</w:t>
            </w:r>
          </w:p>
        </w:tc>
        <w:tc>
          <w:tcPr>
            <w:tcW w:w="3119" w:type="dxa"/>
            <w:shd w:val="clear" w:color="auto" w:fill="D9D9D9" w:themeFill="background1" w:themeFillShade="D9"/>
          </w:tcPr>
          <w:p w:rsidR="00040C26" w:rsidRPr="0039474D" w:rsidRDefault="00040C26" w:rsidP="005109E5">
            <w:pPr>
              <w:spacing w:after="0" w:line="240" w:lineRule="auto"/>
              <w:jc w:val="center"/>
              <w:rPr>
                <w:rFonts w:ascii="Times New Roman" w:hAnsi="Times New Roman" w:cs="Times New Roman"/>
                <w:bCs/>
                <w:color w:val="000000"/>
                <w:sz w:val="16"/>
                <w:szCs w:val="16"/>
              </w:rPr>
            </w:pPr>
            <w:r w:rsidRPr="0039474D">
              <w:rPr>
                <w:rFonts w:ascii="Times New Roman" w:hAnsi="Times New Roman" w:cs="Times New Roman"/>
                <w:bCs/>
                <w:color w:val="000000"/>
                <w:sz w:val="16"/>
                <w:szCs w:val="16"/>
              </w:rPr>
              <w:t xml:space="preserve">Koszt spłaty kredytu przy partycypacji 15,0% [zł/m²] </w:t>
            </w:r>
          </w:p>
          <w:p w:rsidR="00040C26" w:rsidRPr="0039474D" w:rsidRDefault="00040C26" w:rsidP="005109E5">
            <w:pPr>
              <w:spacing w:after="0" w:line="240" w:lineRule="auto"/>
              <w:jc w:val="center"/>
              <w:rPr>
                <w:rFonts w:ascii="Times New Roman" w:hAnsi="Times New Roman" w:cs="Times New Roman"/>
                <w:bCs/>
                <w:color w:val="000000"/>
                <w:sz w:val="16"/>
                <w:szCs w:val="16"/>
              </w:rPr>
            </w:pPr>
            <w:r w:rsidRPr="0039474D">
              <w:rPr>
                <w:rFonts w:ascii="Times New Roman" w:hAnsi="Times New Roman" w:cs="Times New Roman"/>
                <w:bCs/>
                <w:color w:val="000000"/>
                <w:sz w:val="16"/>
                <w:szCs w:val="16"/>
              </w:rPr>
              <w:t>(</w:t>
            </w:r>
            <w:proofErr w:type="spellStart"/>
            <w:r w:rsidRPr="0039474D">
              <w:rPr>
                <w:rFonts w:ascii="Times New Roman" w:hAnsi="Times New Roman" w:cs="Times New Roman"/>
                <w:bCs/>
                <w:color w:val="000000"/>
                <w:sz w:val="16"/>
                <w:szCs w:val="16"/>
              </w:rPr>
              <w:t>LtV</w:t>
            </w:r>
            <w:proofErr w:type="spellEnd"/>
            <w:r w:rsidRPr="0039474D">
              <w:rPr>
                <w:rFonts w:ascii="Times New Roman" w:hAnsi="Times New Roman" w:cs="Times New Roman"/>
                <w:bCs/>
                <w:color w:val="000000"/>
                <w:sz w:val="16"/>
                <w:szCs w:val="16"/>
              </w:rPr>
              <w:t xml:space="preserve"> = 75%)</w:t>
            </w:r>
          </w:p>
        </w:tc>
        <w:tc>
          <w:tcPr>
            <w:tcW w:w="2551" w:type="dxa"/>
            <w:shd w:val="clear" w:color="auto" w:fill="D9D9D9" w:themeFill="background1" w:themeFillShade="D9"/>
          </w:tcPr>
          <w:p w:rsidR="00040C26" w:rsidRPr="0039474D" w:rsidRDefault="00040C26" w:rsidP="005109E5">
            <w:pPr>
              <w:spacing w:after="0" w:line="240" w:lineRule="auto"/>
              <w:jc w:val="center"/>
              <w:rPr>
                <w:rFonts w:ascii="Times New Roman" w:hAnsi="Times New Roman" w:cs="Times New Roman"/>
                <w:bCs/>
                <w:color w:val="000000"/>
                <w:sz w:val="16"/>
                <w:szCs w:val="16"/>
              </w:rPr>
            </w:pPr>
            <w:r w:rsidRPr="0039474D">
              <w:rPr>
                <w:rFonts w:ascii="Times New Roman" w:hAnsi="Times New Roman" w:cs="Times New Roman"/>
                <w:bCs/>
                <w:color w:val="000000"/>
                <w:sz w:val="16"/>
                <w:szCs w:val="16"/>
              </w:rPr>
              <w:t>Koszt spłaty kredytu przy partycypacji 20,0% [zł/m²]</w:t>
            </w:r>
          </w:p>
          <w:p w:rsidR="00040C26" w:rsidRPr="0039474D" w:rsidRDefault="00040C26" w:rsidP="005109E5">
            <w:pPr>
              <w:spacing w:after="0" w:line="240" w:lineRule="auto"/>
              <w:jc w:val="center"/>
              <w:rPr>
                <w:rFonts w:ascii="Times New Roman" w:hAnsi="Times New Roman" w:cs="Times New Roman"/>
                <w:bCs/>
                <w:color w:val="000000"/>
                <w:sz w:val="16"/>
                <w:szCs w:val="16"/>
              </w:rPr>
            </w:pPr>
            <w:r w:rsidRPr="0039474D">
              <w:rPr>
                <w:rFonts w:ascii="Times New Roman" w:hAnsi="Times New Roman" w:cs="Times New Roman"/>
                <w:bCs/>
                <w:color w:val="000000"/>
                <w:sz w:val="16"/>
                <w:szCs w:val="16"/>
              </w:rPr>
              <w:t>(</w:t>
            </w:r>
            <w:proofErr w:type="spellStart"/>
            <w:r w:rsidRPr="0039474D">
              <w:rPr>
                <w:rFonts w:ascii="Times New Roman" w:hAnsi="Times New Roman" w:cs="Times New Roman"/>
                <w:bCs/>
                <w:color w:val="000000"/>
                <w:sz w:val="16"/>
                <w:szCs w:val="16"/>
              </w:rPr>
              <w:t>LtV</w:t>
            </w:r>
            <w:proofErr w:type="spellEnd"/>
            <w:r w:rsidRPr="0039474D">
              <w:rPr>
                <w:rFonts w:ascii="Times New Roman" w:hAnsi="Times New Roman" w:cs="Times New Roman"/>
                <w:bCs/>
                <w:color w:val="000000"/>
                <w:sz w:val="16"/>
                <w:szCs w:val="16"/>
              </w:rPr>
              <w:t xml:space="preserve"> = 70%)</w:t>
            </w:r>
          </w:p>
        </w:tc>
        <w:tc>
          <w:tcPr>
            <w:tcW w:w="2693" w:type="dxa"/>
            <w:shd w:val="clear" w:color="auto" w:fill="D9D9D9" w:themeFill="background1" w:themeFillShade="D9"/>
          </w:tcPr>
          <w:p w:rsidR="00040C26" w:rsidRPr="0039474D" w:rsidRDefault="00040C26" w:rsidP="005109E5">
            <w:pPr>
              <w:spacing w:after="0" w:line="240" w:lineRule="auto"/>
              <w:jc w:val="center"/>
              <w:rPr>
                <w:rFonts w:ascii="Times New Roman" w:hAnsi="Times New Roman" w:cs="Times New Roman"/>
                <w:bCs/>
                <w:color w:val="000000"/>
                <w:sz w:val="16"/>
                <w:szCs w:val="16"/>
              </w:rPr>
            </w:pPr>
            <w:r w:rsidRPr="0039474D">
              <w:rPr>
                <w:rFonts w:ascii="Times New Roman" w:hAnsi="Times New Roman" w:cs="Times New Roman"/>
                <w:bCs/>
                <w:color w:val="000000"/>
                <w:sz w:val="16"/>
                <w:szCs w:val="16"/>
              </w:rPr>
              <w:t>Koszt spłaty kredytu przy partycypacji 25,0% [zł/m²]</w:t>
            </w:r>
          </w:p>
          <w:p w:rsidR="00040C26" w:rsidRPr="0039474D" w:rsidRDefault="00040C26" w:rsidP="005109E5">
            <w:pPr>
              <w:spacing w:after="0" w:line="240" w:lineRule="auto"/>
              <w:jc w:val="center"/>
              <w:rPr>
                <w:rFonts w:ascii="Times New Roman" w:hAnsi="Times New Roman" w:cs="Times New Roman"/>
                <w:bCs/>
                <w:color w:val="000000"/>
                <w:sz w:val="16"/>
                <w:szCs w:val="16"/>
              </w:rPr>
            </w:pPr>
            <w:r w:rsidRPr="0039474D">
              <w:rPr>
                <w:rFonts w:ascii="Times New Roman" w:hAnsi="Times New Roman" w:cs="Times New Roman"/>
                <w:bCs/>
                <w:color w:val="000000"/>
                <w:sz w:val="16"/>
                <w:szCs w:val="16"/>
              </w:rPr>
              <w:t>(</w:t>
            </w:r>
            <w:proofErr w:type="spellStart"/>
            <w:r w:rsidRPr="0039474D">
              <w:rPr>
                <w:rFonts w:ascii="Times New Roman" w:hAnsi="Times New Roman" w:cs="Times New Roman"/>
                <w:bCs/>
                <w:color w:val="000000"/>
                <w:sz w:val="16"/>
                <w:szCs w:val="16"/>
              </w:rPr>
              <w:t>LtV</w:t>
            </w:r>
            <w:proofErr w:type="spellEnd"/>
            <w:r w:rsidRPr="0039474D">
              <w:rPr>
                <w:rFonts w:ascii="Times New Roman" w:hAnsi="Times New Roman" w:cs="Times New Roman"/>
                <w:bCs/>
                <w:color w:val="000000"/>
                <w:sz w:val="16"/>
                <w:szCs w:val="16"/>
              </w:rPr>
              <w:t xml:space="preserve"> = 65%)</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Wrocław</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15,22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14,20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13,19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Bydgoszcz</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13,23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12,35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11,47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Lublin</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13,62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12,71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11,80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Zielona Góra</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12,02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11,22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10,42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Łódź</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13,78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12,86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11,94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Kraków</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14,92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13,92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12,93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Warszawa</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19,86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18,53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17,21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Opole</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10,61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9,91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9,20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Rzeszów</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11,91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11,12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10,32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Gdańsk</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15,95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14,88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13,82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Katowice</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14,01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13,07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12,14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Kielce</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13,64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12,74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11,83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Olsztyn</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15,84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14,78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13,73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Poznań</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17,57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16,40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15,23 </w:t>
            </w:r>
          </w:p>
        </w:tc>
      </w:tr>
      <w:tr w:rsidR="00040C26" w:rsidRPr="0039474D" w:rsidTr="001B2A2D">
        <w:trPr>
          <w:jc w:val="center"/>
        </w:trPr>
        <w:tc>
          <w:tcPr>
            <w:tcW w:w="1384" w:type="dxa"/>
            <w:shd w:val="clear" w:color="auto" w:fill="D9D9D9" w:themeFill="background1" w:themeFillShade="D9"/>
            <w:vAlign w:val="bottom"/>
          </w:tcPr>
          <w:p w:rsidR="00040C26" w:rsidRPr="0039474D" w:rsidRDefault="00040C26" w:rsidP="005109E5">
            <w:pPr>
              <w:spacing w:after="0" w:line="240" w:lineRule="auto"/>
              <w:rPr>
                <w:rFonts w:ascii="Times New Roman" w:hAnsi="Times New Roman" w:cs="Times New Roman"/>
                <w:sz w:val="16"/>
                <w:szCs w:val="16"/>
              </w:rPr>
            </w:pPr>
            <w:r w:rsidRPr="0039474D">
              <w:rPr>
                <w:rFonts w:ascii="Times New Roman" w:hAnsi="Times New Roman" w:cs="Times New Roman"/>
                <w:sz w:val="16"/>
                <w:szCs w:val="16"/>
              </w:rPr>
              <w:t>Szczecin</w:t>
            </w:r>
          </w:p>
        </w:tc>
        <w:tc>
          <w:tcPr>
            <w:tcW w:w="3119"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13,39 </w:t>
            </w:r>
          </w:p>
        </w:tc>
        <w:tc>
          <w:tcPr>
            <w:tcW w:w="2551"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12,50 </w:t>
            </w:r>
          </w:p>
        </w:tc>
        <w:tc>
          <w:tcPr>
            <w:tcW w:w="2693" w:type="dxa"/>
            <w:shd w:val="clear" w:color="auto" w:fill="auto"/>
            <w:vAlign w:val="bottom"/>
          </w:tcPr>
          <w:p w:rsidR="00040C26" w:rsidRPr="0039474D" w:rsidRDefault="00040C26" w:rsidP="005109E5">
            <w:pPr>
              <w:spacing w:after="0" w:line="240" w:lineRule="auto"/>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 xml:space="preserve">11,61 </w:t>
            </w:r>
          </w:p>
        </w:tc>
      </w:tr>
    </w:tbl>
    <w:p w:rsidR="00040C26" w:rsidRPr="0039474D" w:rsidRDefault="00040C26" w:rsidP="005109E5">
      <w:pPr>
        <w:spacing w:after="0" w:line="240" w:lineRule="auto"/>
        <w:jc w:val="both"/>
        <w:rPr>
          <w:rFonts w:ascii="Times New Roman" w:hAnsi="Times New Roman" w:cs="Times New Roman"/>
          <w:spacing w:val="4"/>
          <w:sz w:val="20"/>
          <w:szCs w:val="20"/>
        </w:rPr>
      </w:pPr>
      <w:r w:rsidRPr="0039474D">
        <w:rPr>
          <w:rFonts w:ascii="Times New Roman" w:hAnsi="Times New Roman" w:cs="Times New Roman"/>
          <w:spacing w:val="4"/>
          <w:sz w:val="20"/>
          <w:szCs w:val="20"/>
        </w:rPr>
        <w:t>Źródło: analizy BGK (w analizach założono okres spłaty kredytu = 29 lat; koszt przedsięwzięcia na poziomie 95% kosztu wartości odtworzeniowej; WIBOR 3M w wysokości 3,5%)</w:t>
      </w:r>
    </w:p>
    <w:p w:rsidR="00382548" w:rsidRDefault="00382548" w:rsidP="004C5BCC">
      <w:pPr>
        <w:spacing w:after="120" w:line="240" w:lineRule="exact"/>
        <w:jc w:val="both"/>
        <w:rPr>
          <w:rFonts w:eastAsia="Times New Roman" w:cs="Arial"/>
          <w:spacing w:val="4"/>
          <w:lang w:eastAsia="pl-PL"/>
        </w:rPr>
      </w:pPr>
    </w:p>
    <w:p w:rsidR="004C5BCC" w:rsidRPr="0039474D" w:rsidRDefault="004C5BCC"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 xml:space="preserve">Propozycja zmiany </w:t>
      </w:r>
      <w:r w:rsidRPr="0039474D">
        <w:rPr>
          <w:rFonts w:ascii="Times New Roman" w:eastAsia="Times New Roman" w:hAnsi="Times New Roman" w:cs="Times New Roman"/>
          <w:b/>
          <w:spacing w:val="4"/>
          <w:sz w:val="24"/>
          <w:szCs w:val="24"/>
          <w:lang w:eastAsia="pl-PL"/>
        </w:rPr>
        <w:t>art.</w:t>
      </w:r>
      <w:r w:rsidRPr="0039474D">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b/>
          <w:spacing w:val="4"/>
          <w:sz w:val="24"/>
          <w:szCs w:val="24"/>
          <w:lang w:eastAsia="pl-PL"/>
        </w:rPr>
        <w:t>29a ust. 2</w:t>
      </w:r>
      <w:r w:rsidRPr="0039474D">
        <w:rPr>
          <w:rFonts w:ascii="Times New Roman" w:eastAsia="Times New Roman" w:hAnsi="Times New Roman" w:cs="Times New Roman"/>
          <w:spacing w:val="4"/>
          <w:sz w:val="24"/>
          <w:szCs w:val="24"/>
          <w:lang w:eastAsia="pl-PL"/>
        </w:rPr>
        <w:t>,</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korespondując ze zmianami w zakresie progów dochodowych wyznaczających uprawnienia do wynajmu mieszkania na warunkach preferencyjnych, ma ułatwić osobom gorzej sytuowanym uzyskanie praw do lokalu, co</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mogłoby być utrudnione w przypadku konieczności wniesienia wyższej kwoty partycypacji. Jednocześnie, w odróżnieniu od aktualnego stanu prawnego, w przypadku inwestycji realizowanych bez wykorzystania preferencyjnego finansowania po wprowadzeniu proponowanych zmian przepisy nie będą nadmiernie ingerowały w swobodę kształtowania stosunków umownych łączących inwestora z przyszłym najemcą. </w:t>
      </w:r>
      <w:r w:rsidR="00AA1407" w:rsidRPr="0039474D">
        <w:rPr>
          <w:rFonts w:ascii="Times New Roman" w:eastAsia="Times New Roman" w:hAnsi="Times New Roman" w:cs="Times New Roman"/>
          <w:spacing w:val="4"/>
          <w:sz w:val="24"/>
          <w:szCs w:val="24"/>
          <w:lang w:eastAsia="pl-PL"/>
        </w:rPr>
        <w:t>Wprowadzone do ustawy u</w:t>
      </w:r>
      <w:r w:rsidRPr="0039474D">
        <w:rPr>
          <w:rFonts w:ascii="Times New Roman" w:eastAsia="Times New Roman" w:hAnsi="Times New Roman" w:cs="Times New Roman"/>
          <w:spacing w:val="4"/>
          <w:sz w:val="24"/>
          <w:szCs w:val="24"/>
          <w:lang w:eastAsia="pl-PL"/>
        </w:rPr>
        <w:t xml:space="preserve">elastycznienie w tym zakresie umożliwi realizowanie przez </w:t>
      </w:r>
      <w:r w:rsidR="00480349" w:rsidRPr="0039474D">
        <w:rPr>
          <w:rFonts w:ascii="Times New Roman" w:eastAsia="Times New Roman" w:hAnsi="Times New Roman" w:cs="Times New Roman"/>
          <w:spacing w:val="4"/>
          <w:sz w:val="24"/>
          <w:szCs w:val="24"/>
          <w:lang w:eastAsia="pl-PL"/>
        </w:rPr>
        <w:t>TBS</w:t>
      </w:r>
      <w:r w:rsidRPr="0039474D">
        <w:rPr>
          <w:rFonts w:ascii="Times New Roman" w:eastAsia="Times New Roman" w:hAnsi="Times New Roman" w:cs="Times New Roman"/>
          <w:spacing w:val="4"/>
          <w:sz w:val="24"/>
          <w:szCs w:val="24"/>
          <w:lang w:eastAsia="pl-PL"/>
        </w:rPr>
        <w:t xml:space="preserve">-y, niezależnie od rządowego programu wsparcia, takich projektów mieszkaniowych, </w:t>
      </w:r>
      <w:r w:rsidRPr="0039474D">
        <w:rPr>
          <w:rFonts w:ascii="Times New Roman" w:eastAsia="Times New Roman" w:hAnsi="Times New Roman" w:cs="Times New Roman"/>
          <w:spacing w:val="4"/>
          <w:sz w:val="24"/>
          <w:szCs w:val="24"/>
          <w:lang w:eastAsia="pl-PL"/>
        </w:rPr>
        <w:lastRenderedPageBreak/>
        <w:t>które mogą wymagać odmiennych rozwiązań od aktualnych przepisów ustawy (przykładem partycypacja najemców w kosztach budowy w przypadku inwestycji adresowanych do wyższych grup dochodowych, zakładających docelowe przeniesienie</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prawa własności wybudowanego mieszkania na najemcę).</w:t>
      </w:r>
    </w:p>
    <w:p w:rsidR="004C5BCC" w:rsidRPr="0039474D" w:rsidRDefault="004C5BCC"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Zmiana w</w:t>
      </w:r>
      <w:r w:rsidRPr="0039474D">
        <w:rPr>
          <w:rFonts w:ascii="Times New Roman" w:eastAsia="Times New Roman" w:hAnsi="Times New Roman" w:cs="Times New Roman"/>
          <w:b/>
          <w:spacing w:val="4"/>
          <w:sz w:val="24"/>
          <w:szCs w:val="24"/>
          <w:lang w:eastAsia="pl-PL"/>
        </w:rPr>
        <w:t xml:space="preserve"> art. 29a ust. 3</w:t>
      </w:r>
      <w:r w:rsidRPr="0039474D">
        <w:rPr>
          <w:rFonts w:ascii="Times New Roman" w:eastAsia="Times New Roman" w:hAnsi="Times New Roman" w:cs="Times New Roman"/>
          <w:spacing w:val="4"/>
          <w:sz w:val="24"/>
          <w:szCs w:val="24"/>
          <w:lang w:eastAsia="pl-PL"/>
        </w:rPr>
        <w:t xml:space="preserve"> dotyczy zasad waloryzacji kwoty wpłaconej przez lokatora partycypacji własnej, dokonywanej w momencie zwrotu tej partycypacji przez TBS w sytuacji zakończenia najmu i opróżnienia lokalu mieszkalnego. </w:t>
      </w:r>
    </w:p>
    <w:p w:rsidR="004C5BCC" w:rsidRPr="0039474D" w:rsidRDefault="004C5BCC"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t xml:space="preserve">Aktualnie ustawa przewiduje, że kwota zwrotu partycypacji własnej najemcy, ustalana na dzień opróżnienia lokalu mieszkalnego, odpowiadać powinna kwocie „stanowiącej odsetek aktualnej wartości odtworzeniowej lokalu”. W konsekwencji w wielu przypadkach formuła waloryzacji może nie zapewniać zwrotu partycypacji na poziomie adekwatnym do rzeczywistych nakładów poniesionych w przeszłości przez najemcę. Skutkować to może ryzykiem bezzasadnego uzyskania dodatkowych korzyści przez </w:t>
      </w:r>
      <w:proofErr w:type="spellStart"/>
      <w:r w:rsidRPr="0039474D">
        <w:rPr>
          <w:rFonts w:ascii="Times New Roman" w:eastAsia="Times New Roman" w:hAnsi="Times New Roman" w:cs="Times New Roman"/>
          <w:spacing w:val="4"/>
          <w:sz w:val="24"/>
          <w:szCs w:val="24"/>
          <w:lang w:eastAsia="pl-PL"/>
        </w:rPr>
        <w:t>partycypanta</w:t>
      </w:r>
      <w:proofErr w:type="spellEnd"/>
      <w:r w:rsidRPr="0039474D">
        <w:rPr>
          <w:rFonts w:ascii="Times New Roman" w:eastAsia="Times New Roman" w:hAnsi="Times New Roman" w:cs="Times New Roman"/>
          <w:spacing w:val="4"/>
          <w:sz w:val="24"/>
          <w:szCs w:val="24"/>
          <w:lang w:eastAsia="pl-PL"/>
        </w:rPr>
        <w:t xml:space="preserve">, kosztem pogorszenia sytuacji finansowej gestora społecznych mieszkań czynszowych. Zagrożenie to w szczególności odnosi się do takich przedsięwzięć, w przypadku których koszty budowy były lub będą stosunkowo niskie, różniąc się znacząco od obowiązującego w okresie budowy wskaźnika wartości odtworzeniowej lokalu (taka zależność, w przypadku budownictwa społecznego, była dotychczas premiowana większą możliwością uzyskania finansowego wsparcia). </w:t>
      </w:r>
    </w:p>
    <w:p w:rsidR="004C5BCC" w:rsidRPr="0039474D" w:rsidRDefault="004C5BCC" w:rsidP="0039474D">
      <w:pPr>
        <w:spacing w:before="120" w:after="0" w:line="360" w:lineRule="auto"/>
        <w:jc w:val="both"/>
        <w:rPr>
          <w:rFonts w:ascii="Times New Roman" w:hAnsi="Times New Roman" w:cs="Times New Roman"/>
          <w:sz w:val="24"/>
          <w:szCs w:val="24"/>
        </w:rPr>
      </w:pPr>
      <w:r w:rsidRPr="0039474D">
        <w:rPr>
          <w:rFonts w:ascii="Times New Roman" w:eastAsia="Times New Roman" w:hAnsi="Times New Roman" w:cs="Times New Roman"/>
          <w:sz w:val="24"/>
          <w:szCs w:val="24"/>
          <w:lang w:eastAsia="pl-PL"/>
        </w:rPr>
        <w:t>Biorąc pod uwagę powyższe, proponowana zmiana w art. 29</w:t>
      </w:r>
      <w:r w:rsidR="00D80AAE" w:rsidRPr="0039474D">
        <w:rPr>
          <w:rFonts w:ascii="Times New Roman" w:eastAsia="Times New Roman" w:hAnsi="Times New Roman" w:cs="Times New Roman"/>
          <w:sz w:val="24"/>
          <w:szCs w:val="24"/>
          <w:lang w:eastAsia="pl-PL"/>
        </w:rPr>
        <w:t>a</w:t>
      </w:r>
      <w:r w:rsidRPr="0039474D">
        <w:rPr>
          <w:rFonts w:ascii="Times New Roman" w:eastAsia="Times New Roman" w:hAnsi="Times New Roman" w:cs="Times New Roman"/>
          <w:sz w:val="24"/>
          <w:szCs w:val="24"/>
          <w:lang w:eastAsia="pl-PL"/>
        </w:rPr>
        <w:t xml:space="preserve"> ust. 3 przewiduje po pierwsze oparcie zmodyfikowanych zasad waloryzacji kwoty partycypacji własnej na rzeczywiście poniesionych przez przyszłego lokatora nakładach (a nie „odsetku” tych nakładów w kosztach całego przedsięwzięcia TBS), zwaloryzowanych wskaźnikiem odzwierciedlającym procentową zmianę kosztów budowy 1 m</w:t>
      </w:r>
      <w:r w:rsidRPr="0039474D">
        <w:rPr>
          <w:rFonts w:ascii="Times New Roman" w:eastAsia="Times New Roman" w:hAnsi="Times New Roman" w:cs="Times New Roman"/>
          <w:sz w:val="24"/>
          <w:szCs w:val="24"/>
          <w:vertAlign w:val="superscript"/>
          <w:lang w:eastAsia="pl-PL"/>
        </w:rPr>
        <w:t>2</w:t>
      </w:r>
      <w:r w:rsidRPr="0039474D">
        <w:rPr>
          <w:rFonts w:ascii="Times New Roman" w:eastAsia="Times New Roman" w:hAnsi="Times New Roman" w:cs="Times New Roman"/>
          <w:sz w:val="24"/>
          <w:szCs w:val="24"/>
          <w:lang w:eastAsia="pl-PL"/>
        </w:rPr>
        <w:t xml:space="preserve"> powierzchni użytkowej budynków mieszkalnych w budownictwie wielorodzinnym. Proponowana k</w:t>
      </w:r>
      <w:r w:rsidRPr="0039474D">
        <w:rPr>
          <w:rFonts w:ascii="Times New Roman" w:hAnsi="Times New Roman" w:cs="Times New Roman"/>
          <w:sz w:val="24"/>
          <w:szCs w:val="24"/>
        </w:rPr>
        <w:t xml:space="preserve">orekta formuły ustawowej zapewniała będzie adekwatny punkt odniesienia dla formuły waloryzacyjnej: partycypacja jest uczestnictwem w kosztach budowy nowego mieszkania, tak więc to wskaźnik odzwierciedlający przeciętną zmianę ww. kosztów w ocenie projektodawcy powinien być podstawą waloryzacji kwoty wniesionej partycypacji. </w:t>
      </w:r>
    </w:p>
    <w:p w:rsidR="004C5BCC" w:rsidRPr="0039474D" w:rsidRDefault="004C5BCC" w:rsidP="0039474D">
      <w:pPr>
        <w:spacing w:before="120" w:after="0" w:line="360" w:lineRule="auto"/>
        <w:jc w:val="both"/>
        <w:rPr>
          <w:rFonts w:ascii="Times New Roman" w:hAnsi="Times New Roman" w:cs="Times New Roman"/>
          <w:sz w:val="24"/>
          <w:szCs w:val="24"/>
        </w:rPr>
      </w:pPr>
      <w:r w:rsidRPr="0039474D">
        <w:rPr>
          <w:rFonts w:ascii="Times New Roman" w:hAnsi="Times New Roman" w:cs="Times New Roman"/>
          <w:sz w:val="24"/>
          <w:szCs w:val="24"/>
        </w:rPr>
        <w:t>Z</w:t>
      </w:r>
      <w:r w:rsidRPr="0039474D">
        <w:rPr>
          <w:rFonts w:ascii="Times New Roman" w:eastAsia="Times New Roman" w:hAnsi="Times New Roman" w:cs="Times New Roman"/>
          <w:sz w:val="24"/>
          <w:szCs w:val="24"/>
          <w:lang w:eastAsia="pl-PL"/>
        </w:rPr>
        <w:t xml:space="preserve">godnie ze wzorem, uwzględnienie w ramach formuły waloryzacyjnej wskaźnika zmiany wysokości kosztów budowy następowałoby dla całego kraju na podstawie wysokości wskaźnika GUS, ogłaszanego jako wskaźnik </w:t>
      </w:r>
      <w:r w:rsidRPr="0039474D">
        <w:rPr>
          <w:rFonts w:ascii="Times New Roman" w:hAnsi="Times New Roman" w:cs="Times New Roman"/>
          <w:sz w:val="24"/>
          <w:szCs w:val="24"/>
        </w:rPr>
        <w:t>ceny 1</w:t>
      </w:r>
      <w:r w:rsidR="00B379CD">
        <w:rPr>
          <w:rFonts w:ascii="Times New Roman" w:hAnsi="Times New Roman" w:cs="Times New Roman"/>
          <w:sz w:val="24"/>
          <w:szCs w:val="24"/>
        </w:rPr>
        <w:t xml:space="preserve"> </w:t>
      </w:r>
      <w:r w:rsidRPr="0039474D">
        <w:rPr>
          <w:rFonts w:ascii="Times New Roman" w:hAnsi="Times New Roman" w:cs="Times New Roman"/>
          <w:sz w:val="24"/>
          <w:szCs w:val="24"/>
        </w:rPr>
        <w:t>m</w:t>
      </w:r>
      <w:r w:rsidRPr="0039474D">
        <w:rPr>
          <w:rFonts w:ascii="Times New Roman" w:hAnsi="Times New Roman" w:cs="Times New Roman"/>
          <w:sz w:val="24"/>
          <w:szCs w:val="24"/>
          <w:vertAlign w:val="superscript"/>
        </w:rPr>
        <w:t>2</w:t>
      </w:r>
      <w:r w:rsidRPr="0039474D">
        <w:rPr>
          <w:rFonts w:ascii="Times New Roman" w:hAnsi="Times New Roman" w:cs="Times New Roman"/>
          <w:sz w:val="24"/>
          <w:szCs w:val="24"/>
        </w:rPr>
        <w:t xml:space="preserve"> powierzchni użytkowej budynku mieszkalnego na podstawie art. 3b ust. 4 ustawy z dnia 30 listopada 1995 r. o pomocy </w:t>
      </w:r>
      <w:r w:rsidRPr="0039474D">
        <w:rPr>
          <w:rFonts w:ascii="Times New Roman" w:hAnsi="Times New Roman" w:cs="Times New Roman"/>
          <w:sz w:val="24"/>
          <w:szCs w:val="24"/>
        </w:rPr>
        <w:lastRenderedPageBreak/>
        <w:t>państwa w spłacie niektórych kredytów mieszkaniowych, udzielaniu premii gwarancyjnych oraz refundacji bankom wypłaconych premii gwarancyjnych. Zaproponowana korekta zapewni tym samym, że</w:t>
      </w:r>
      <w:r w:rsidR="00F749A5">
        <w:rPr>
          <w:rFonts w:ascii="Times New Roman" w:hAnsi="Times New Roman" w:cs="Times New Roman"/>
          <w:sz w:val="24"/>
          <w:szCs w:val="24"/>
        </w:rPr>
        <w:t xml:space="preserve"> </w:t>
      </w:r>
      <w:r w:rsidRPr="0039474D">
        <w:rPr>
          <w:rFonts w:ascii="Times New Roman" w:hAnsi="Times New Roman" w:cs="Times New Roman"/>
          <w:sz w:val="24"/>
          <w:szCs w:val="24"/>
        </w:rPr>
        <w:t xml:space="preserve">wskaźnik odzwierciedlający zmianę kosztów budowy byłby oparty wyłącznie na danych rynkowych </w:t>
      </w:r>
      <w:r w:rsidRPr="0039474D">
        <w:rPr>
          <w:rFonts w:ascii="Times New Roman" w:eastAsia="Times New Roman" w:hAnsi="Times New Roman" w:cs="Times New Roman"/>
          <w:sz w:val="24"/>
          <w:szCs w:val="24"/>
          <w:lang w:eastAsia="pl-PL"/>
        </w:rPr>
        <w:t>(i</w:t>
      </w:r>
      <w:r w:rsidRPr="0039474D">
        <w:rPr>
          <w:rFonts w:ascii="Times New Roman" w:hAnsi="Times New Roman" w:cs="Times New Roman"/>
          <w:sz w:val="24"/>
          <w:szCs w:val="24"/>
        </w:rPr>
        <w:t>nformacje będące podstawą publikacji wskaźnika GUS są gromadzone wyłącznie</w:t>
      </w:r>
      <w:r w:rsidR="00EF7B6B" w:rsidRPr="0039474D">
        <w:rPr>
          <w:rFonts w:ascii="Times New Roman" w:hAnsi="Times New Roman" w:cs="Times New Roman"/>
          <w:sz w:val="24"/>
          <w:szCs w:val="24"/>
        </w:rPr>
        <w:t xml:space="preserve"> </w:t>
      </w:r>
      <w:r w:rsidRPr="0039474D">
        <w:rPr>
          <w:rFonts w:ascii="Times New Roman" w:hAnsi="Times New Roman" w:cs="Times New Roman"/>
          <w:sz w:val="24"/>
          <w:szCs w:val="24"/>
        </w:rPr>
        <w:t xml:space="preserve">w oparciu o kwestionariusz statystyczny B09, </w:t>
      </w:r>
      <w:r w:rsidRPr="0039474D">
        <w:rPr>
          <w:rFonts w:ascii="Times New Roman" w:eastAsia="Times New Roman" w:hAnsi="Times New Roman" w:cs="Times New Roman"/>
          <w:sz w:val="24"/>
          <w:szCs w:val="24"/>
          <w:lang w:eastAsia="pl-PL"/>
        </w:rPr>
        <w:t>jako informacje o kosztach budowy w budownictwie wielorodzinnym)</w:t>
      </w:r>
      <w:r w:rsidRPr="0039474D">
        <w:rPr>
          <w:rFonts w:ascii="Times New Roman" w:hAnsi="Times New Roman" w:cs="Times New Roman"/>
          <w:sz w:val="24"/>
          <w:szCs w:val="24"/>
        </w:rPr>
        <w:t xml:space="preserve">, znacząco ograniczając ryzyko przypadkowych wahań i zróżnicowań regionalnych, które mogą występować w przypadku oparcia formuły waloryzacyjnej na ogłaszanych przez wojewodów wskaźnikach </w:t>
      </w:r>
      <w:r w:rsidRPr="0039474D">
        <w:rPr>
          <w:rFonts w:ascii="Times New Roman" w:eastAsia="Times New Roman" w:hAnsi="Times New Roman" w:cs="Times New Roman"/>
          <w:sz w:val="24"/>
          <w:szCs w:val="24"/>
          <w:lang w:eastAsia="pl-PL"/>
        </w:rPr>
        <w:t>wartości odtworzeniowej lokalu (ogłaszany przez wojewodów wskaźnik wartości odtworzeniowej wykorzystuje dane GUS, ale opiera się na danych ograniczonych do rynków regionalnych, a przy jego publikowaniu wojewoda uwzględnia szeroki zakres zastosowań ustawowych</w:t>
      </w:r>
      <w:r w:rsidR="00EE7E8C">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oceny i analizy własne).</w:t>
      </w:r>
      <w:r w:rsidR="00F749A5">
        <w:rPr>
          <w:rFonts w:ascii="Times New Roman" w:eastAsia="Times New Roman" w:hAnsi="Times New Roman" w:cs="Times New Roman"/>
          <w:sz w:val="24"/>
          <w:szCs w:val="24"/>
          <w:lang w:eastAsia="pl-PL"/>
        </w:rPr>
        <w:t xml:space="preserve"> </w:t>
      </w:r>
    </w:p>
    <w:p w:rsidR="004C5BCC" w:rsidRPr="0039474D" w:rsidRDefault="004C5BCC" w:rsidP="0039474D">
      <w:pPr>
        <w:spacing w:before="120" w:after="0" w:line="360" w:lineRule="auto"/>
        <w:jc w:val="both"/>
        <w:rPr>
          <w:rFonts w:ascii="Times New Roman" w:hAnsi="Times New Roman" w:cs="Times New Roman"/>
          <w:sz w:val="24"/>
          <w:szCs w:val="24"/>
        </w:rPr>
      </w:pPr>
      <w:r w:rsidRPr="0039474D">
        <w:rPr>
          <w:rFonts w:ascii="Times New Roman" w:hAnsi="Times New Roman" w:cs="Times New Roman"/>
          <w:sz w:val="24"/>
          <w:szCs w:val="24"/>
        </w:rPr>
        <w:t>W celu wyeliminowania jednorazowych istotnych różni</w:t>
      </w:r>
      <w:r w:rsidR="0029431E" w:rsidRPr="0039474D">
        <w:rPr>
          <w:rFonts w:ascii="Times New Roman" w:hAnsi="Times New Roman" w:cs="Times New Roman"/>
          <w:sz w:val="24"/>
          <w:szCs w:val="24"/>
        </w:rPr>
        <w:t>c</w:t>
      </w:r>
      <w:r w:rsidRPr="0039474D">
        <w:rPr>
          <w:rFonts w:ascii="Times New Roman" w:hAnsi="Times New Roman" w:cs="Times New Roman"/>
          <w:sz w:val="24"/>
          <w:szCs w:val="24"/>
        </w:rPr>
        <w:t xml:space="preserve"> wartości wskaźnika pomiędzy kwartałami, nieznajdujących odzwierciedlenia w trwałych zależnościach zachodzących na rynku, we wzorze określonym w </w:t>
      </w:r>
      <w:r w:rsidR="00013372" w:rsidRPr="0039474D">
        <w:rPr>
          <w:rFonts w:ascii="Times New Roman" w:hAnsi="Times New Roman" w:cs="Times New Roman"/>
          <w:sz w:val="24"/>
          <w:szCs w:val="24"/>
        </w:rPr>
        <w:t>ustawie</w:t>
      </w:r>
      <w:r w:rsidRPr="0039474D">
        <w:rPr>
          <w:rFonts w:ascii="Times New Roman" w:hAnsi="Times New Roman" w:cs="Times New Roman"/>
          <w:sz w:val="24"/>
          <w:szCs w:val="24"/>
        </w:rPr>
        <w:t xml:space="preserve"> indeks został oparty na średniej arytmetycznej czterech ostatnio ogłoszonych wartości wskaźnika GUS. Efekt przyjętego rozwiązania obrazuje zamieszczony poniżej wykres.</w:t>
      </w:r>
    </w:p>
    <w:p w:rsidR="004C5BCC" w:rsidRPr="0039474D" w:rsidRDefault="004C5BCC" w:rsidP="0039474D">
      <w:pPr>
        <w:spacing w:before="120" w:after="0" w:line="360" w:lineRule="auto"/>
        <w:jc w:val="both"/>
        <w:rPr>
          <w:rFonts w:ascii="Times New Roman" w:hAnsi="Times New Roman" w:cs="Times New Roman"/>
          <w:sz w:val="24"/>
          <w:szCs w:val="24"/>
        </w:rPr>
      </w:pPr>
      <w:r w:rsidRPr="0039474D">
        <w:rPr>
          <w:rFonts w:ascii="Times New Roman" w:eastAsia="Times New Roman" w:hAnsi="Times New Roman" w:cs="Times New Roman"/>
          <w:sz w:val="24"/>
          <w:szCs w:val="24"/>
          <w:lang w:eastAsia="pl-PL"/>
        </w:rPr>
        <w:t xml:space="preserve">Wysokość wskaźnika </w:t>
      </w:r>
      <w:r w:rsidRPr="0039474D">
        <w:rPr>
          <w:rFonts w:ascii="Times New Roman" w:hAnsi="Times New Roman" w:cs="Times New Roman"/>
          <w:sz w:val="24"/>
          <w:szCs w:val="24"/>
        </w:rPr>
        <w:t>ceny 1</w:t>
      </w:r>
      <w:r w:rsidR="00EE7E8C">
        <w:rPr>
          <w:rFonts w:ascii="Times New Roman" w:hAnsi="Times New Roman" w:cs="Times New Roman"/>
          <w:sz w:val="24"/>
          <w:szCs w:val="24"/>
        </w:rPr>
        <w:t xml:space="preserve"> </w:t>
      </w:r>
      <w:r w:rsidRPr="0039474D">
        <w:rPr>
          <w:rFonts w:ascii="Times New Roman" w:hAnsi="Times New Roman" w:cs="Times New Roman"/>
          <w:sz w:val="24"/>
          <w:szCs w:val="24"/>
        </w:rPr>
        <w:t>m</w:t>
      </w:r>
      <w:r w:rsidRPr="0039474D">
        <w:rPr>
          <w:rFonts w:ascii="Times New Roman" w:hAnsi="Times New Roman" w:cs="Times New Roman"/>
          <w:sz w:val="24"/>
          <w:szCs w:val="24"/>
          <w:vertAlign w:val="superscript"/>
        </w:rPr>
        <w:t>2</w:t>
      </w:r>
      <w:r w:rsidRPr="0039474D">
        <w:rPr>
          <w:rFonts w:ascii="Times New Roman" w:hAnsi="Times New Roman" w:cs="Times New Roman"/>
          <w:sz w:val="24"/>
          <w:szCs w:val="24"/>
        </w:rPr>
        <w:t xml:space="preserve"> powierzchni użytkowej budynku mieszkalnego GUS w okresie </w:t>
      </w:r>
      <w:r w:rsidR="00EE7E8C">
        <w:rPr>
          <w:rFonts w:ascii="Times New Roman" w:hAnsi="Times New Roman" w:cs="Times New Roman"/>
          <w:sz w:val="24"/>
          <w:szCs w:val="24"/>
        </w:rPr>
        <w:t xml:space="preserve">od </w:t>
      </w:r>
      <w:r w:rsidRPr="0039474D">
        <w:rPr>
          <w:rFonts w:ascii="Times New Roman" w:hAnsi="Times New Roman" w:cs="Times New Roman"/>
          <w:sz w:val="24"/>
          <w:szCs w:val="24"/>
        </w:rPr>
        <w:t>I kwartał</w:t>
      </w:r>
      <w:r w:rsidR="00EE7E8C">
        <w:rPr>
          <w:rFonts w:ascii="Times New Roman" w:hAnsi="Times New Roman" w:cs="Times New Roman"/>
          <w:sz w:val="24"/>
          <w:szCs w:val="24"/>
        </w:rPr>
        <w:t>u</w:t>
      </w:r>
      <w:r w:rsidRPr="0039474D">
        <w:rPr>
          <w:rFonts w:ascii="Times New Roman" w:hAnsi="Times New Roman" w:cs="Times New Roman"/>
          <w:sz w:val="24"/>
          <w:szCs w:val="24"/>
        </w:rPr>
        <w:t xml:space="preserve"> 2005 r. do III kw</w:t>
      </w:r>
      <w:r w:rsidR="00EE7E8C">
        <w:rPr>
          <w:rFonts w:ascii="Times New Roman" w:hAnsi="Times New Roman" w:cs="Times New Roman"/>
          <w:sz w:val="24"/>
          <w:szCs w:val="24"/>
        </w:rPr>
        <w:t>artału</w:t>
      </w:r>
      <w:r w:rsidRPr="0039474D">
        <w:rPr>
          <w:rFonts w:ascii="Times New Roman" w:hAnsi="Times New Roman" w:cs="Times New Roman"/>
          <w:sz w:val="24"/>
          <w:szCs w:val="24"/>
        </w:rPr>
        <w:t xml:space="preserve"> 2014 r. oraz wysokość proponowanego wskaźnika będącego podstawą waloryzacji kwoty zwrotu partycypacji, o której mowa w art. 29a ustawy (PLN)</w:t>
      </w:r>
    </w:p>
    <w:p w:rsidR="004C5BCC" w:rsidRPr="00A67280" w:rsidRDefault="004C5BCC" w:rsidP="004C5BCC">
      <w:pPr>
        <w:spacing w:after="0" w:line="240" w:lineRule="auto"/>
      </w:pPr>
      <w:r w:rsidRPr="00A67280">
        <w:rPr>
          <w:noProof/>
          <w:lang w:eastAsia="pl-PL"/>
        </w:rPr>
        <w:drawing>
          <wp:inline distT="0" distB="0" distL="0" distR="0">
            <wp:extent cx="5760720" cy="2552698"/>
            <wp:effectExtent l="0" t="0" r="11430" b="1968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5BCC" w:rsidRPr="0039474D" w:rsidRDefault="004C5BCC" w:rsidP="004C5BCC">
      <w:pPr>
        <w:spacing w:after="0" w:line="240" w:lineRule="auto"/>
        <w:rPr>
          <w:rFonts w:ascii="Times New Roman" w:hAnsi="Times New Roman" w:cs="Times New Roman"/>
          <w:sz w:val="20"/>
          <w:szCs w:val="20"/>
        </w:rPr>
      </w:pPr>
      <w:r w:rsidRPr="0039474D">
        <w:rPr>
          <w:rFonts w:ascii="Times New Roman" w:hAnsi="Times New Roman" w:cs="Times New Roman"/>
          <w:sz w:val="20"/>
          <w:szCs w:val="20"/>
        </w:rPr>
        <w:t>Źródło: na podstawie danych GUS</w:t>
      </w:r>
    </w:p>
    <w:p w:rsidR="004C5BCC" w:rsidRPr="00A67280" w:rsidRDefault="004C5BCC" w:rsidP="004C5BCC">
      <w:pPr>
        <w:spacing w:after="120" w:line="240" w:lineRule="exact"/>
        <w:jc w:val="both"/>
        <w:rPr>
          <w:rFonts w:eastAsia="Times New Roman" w:cs="Arial"/>
          <w:spacing w:val="4"/>
          <w:lang w:eastAsia="pl-PL"/>
        </w:rPr>
      </w:pPr>
    </w:p>
    <w:p w:rsidR="004C5BCC" w:rsidRPr="0039474D" w:rsidRDefault="004C5BCC" w:rsidP="0039474D">
      <w:pPr>
        <w:spacing w:before="120" w:after="0" w:line="360" w:lineRule="auto"/>
        <w:jc w:val="both"/>
        <w:rPr>
          <w:rFonts w:ascii="Times New Roman" w:eastAsia="Times New Roman" w:hAnsi="Times New Roman" w:cs="Times New Roman"/>
          <w:spacing w:val="4"/>
          <w:sz w:val="24"/>
          <w:szCs w:val="24"/>
          <w:lang w:eastAsia="pl-PL"/>
        </w:rPr>
      </w:pPr>
      <w:r w:rsidRPr="0039474D">
        <w:rPr>
          <w:rFonts w:ascii="Times New Roman" w:eastAsia="Times New Roman" w:hAnsi="Times New Roman" w:cs="Times New Roman"/>
          <w:spacing w:val="4"/>
          <w:sz w:val="24"/>
          <w:szCs w:val="24"/>
          <w:lang w:eastAsia="pl-PL"/>
        </w:rPr>
        <w:lastRenderedPageBreak/>
        <w:t xml:space="preserve">Drugą wadą obowiązującej zasady waloryzowania kwoty zwracanej partycypacji własnej jest brak w aktualnych przepisach jakiegokolwiek uwzględnienia w określeniu tej kwoty efektu utraty w czasie wartości wybudowanego mieszkania. W dotychczasowym okresie prowadzenia działalności przez </w:t>
      </w:r>
      <w:r w:rsidR="00480349" w:rsidRPr="0039474D">
        <w:rPr>
          <w:rFonts w:ascii="Times New Roman" w:eastAsia="Times New Roman" w:hAnsi="Times New Roman" w:cs="Times New Roman"/>
          <w:spacing w:val="4"/>
          <w:sz w:val="24"/>
          <w:szCs w:val="24"/>
          <w:lang w:eastAsia="pl-PL"/>
        </w:rPr>
        <w:t>TBS</w:t>
      </w:r>
      <w:r w:rsidRPr="0039474D">
        <w:rPr>
          <w:rFonts w:ascii="Times New Roman" w:eastAsia="Times New Roman" w:hAnsi="Times New Roman" w:cs="Times New Roman"/>
          <w:spacing w:val="4"/>
          <w:sz w:val="24"/>
          <w:szCs w:val="24"/>
          <w:lang w:eastAsia="pl-PL"/>
        </w:rPr>
        <w:t>-y, tj. w okresie niespełna 20 lat od rozpoczęcia działalności przez pierwsz</w:t>
      </w:r>
      <w:r w:rsidR="00AA1407" w:rsidRPr="0039474D">
        <w:rPr>
          <w:rFonts w:ascii="Times New Roman" w:eastAsia="Times New Roman" w:hAnsi="Times New Roman" w:cs="Times New Roman"/>
          <w:spacing w:val="4"/>
          <w:sz w:val="24"/>
          <w:szCs w:val="24"/>
          <w:lang w:eastAsia="pl-PL"/>
        </w:rPr>
        <w:t>e</w:t>
      </w:r>
      <w:r w:rsidRPr="0039474D">
        <w:rPr>
          <w:rFonts w:ascii="Times New Roman" w:eastAsia="Times New Roman" w:hAnsi="Times New Roman" w:cs="Times New Roman"/>
          <w:spacing w:val="4"/>
          <w:sz w:val="24"/>
          <w:szCs w:val="24"/>
          <w:lang w:eastAsia="pl-PL"/>
        </w:rPr>
        <w:t xml:space="preserve"> towarzystwo i jedynie 10 lat od zawarcia pierwszej umowy w sprawie partycypacji własnej </w:t>
      </w:r>
      <w:r w:rsidR="00EE7E8C">
        <w:rPr>
          <w:rFonts w:ascii="Times New Roman" w:eastAsia="Times New Roman" w:hAnsi="Times New Roman" w:cs="Times New Roman"/>
          <w:spacing w:val="4"/>
          <w:sz w:val="24"/>
          <w:szCs w:val="24"/>
          <w:lang w:eastAsia="pl-PL"/>
        </w:rPr>
        <w:t>na podstawie</w:t>
      </w:r>
      <w:r w:rsidRPr="0039474D">
        <w:rPr>
          <w:rFonts w:ascii="Times New Roman" w:eastAsia="Times New Roman" w:hAnsi="Times New Roman" w:cs="Times New Roman"/>
          <w:spacing w:val="4"/>
          <w:sz w:val="24"/>
          <w:szCs w:val="24"/>
          <w:lang w:eastAsia="pl-PL"/>
        </w:rPr>
        <w:t xml:space="preserve"> art. 29a ustawy, brak uwzględnienia w formule waloryzującej kwotę zwracanej partycypacji amortyzacji budynku mógł nie być postrzegany w kategoriach wadliwych rozwiązań ustawowych. Jednak, biorąc pod uwagę zmiany zachodzące na rynku nowych inwestycji mieszkaniowych (lepsze technologie, zaostrzone wymagania dotyczące właściwości energetycznyc</w:t>
      </w:r>
      <w:r w:rsidR="00EE7E8C">
        <w:rPr>
          <w:rFonts w:ascii="Times New Roman" w:eastAsia="Times New Roman" w:hAnsi="Times New Roman" w:cs="Times New Roman"/>
          <w:spacing w:val="4"/>
          <w:sz w:val="24"/>
          <w:szCs w:val="24"/>
          <w:lang w:eastAsia="pl-PL"/>
        </w:rPr>
        <w:t>h</w:t>
      </w:r>
      <w:r w:rsidRPr="0039474D">
        <w:rPr>
          <w:rFonts w:ascii="Times New Roman" w:eastAsia="Times New Roman" w:hAnsi="Times New Roman" w:cs="Times New Roman"/>
          <w:spacing w:val="4"/>
          <w:sz w:val="24"/>
          <w:szCs w:val="24"/>
          <w:lang w:eastAsia="pl-PL"/>
        </w:rPr>
        <w:t>), pominięcie w formule waloryzującej technicznego i moralnego zużycia budynków w kolejnych lat</w:t>
      </w:r>
      <w:r w:rsidR="00AA1407" w:rsidRPr="0039474D">
        <w:rPr>
          <w:rFonts w:ascii="Times New Roman" w:eastAsia="Times New Roman" w:hAnsi="Times New Roman" w:cs="Times New Roman"/>
          <w:spacing w:val="4"/>
          <w:sz w:val="24"/>
          <w:szCs w:val="24"/>
          <w:lang w:eastAsia="pl-PL"/>
        </w:rPr>
        <w:t>ach</w:t>
      </w:r>
      <w:r w:rsidRPr="0039474D">
        <w:rPr>
          <w:rFonts w:ascii="Times New Roman" w:eastAsia="Times New Roman" w:hAnsi="Times New Roman" w:cs="Times New Roman"/>
          <w:spacing w:val="4"/>
          <w:sz w:val="24"/>
          <w:szCs w:val="24"/>
          <w:lang w:eastAsia="pl-PL"/>
        </w:rPr>
        <w:t xml:space="preserve"> zwiększało będzie odchylenie pomiędzy zwaloryzowaną kwotą partycypacji (aktualne koszty budowy nowych mieszkań) a rzeczywistą wartością udziału. Z biegiem lat różnice te w coraz większym zakresie nie będą znajdowały obiektywnego oparcia w wartości rynkowej mieszkania. Biorąc to pod uwagę projekt nowelizacji ustawy</w:t>
      </w:r>
      <w:r w:rsidR="00F749A5">
        <w:rPr>
          <w:rFonts w:ascii="Times New Roman" w:eastAsia="Times New Roman" w:hAnsi="Times New Roman" w:cs="Times New Roman"/>
          <w:spacing w:val="4"/>
          <w:sz w:val="24"/>
          <w:szCs w:val="24"/>
          <w:lang w:eastAsia="pl-PL"/>
        </w:rPr>
        <w:t xml:space="preserve"> </w:t>
      </w:r>
      <w:r w:rsidRPr="0039474D">
        <w:rPr>
          <w:rFonts w:ascii="Times New Roman" w:eastAsia="Times New Roman" w:hAnsi="Times New Roman" w:cs="Times New Roman"/>
          <w:spacing w:val="4"/>
          <w:sz w:val="24"/>
          <w:szCs w:val="24"/>
          <w:lang w:eastAsia="pl-PL"/>
        </w:rPr>
        <w:t xml:space="preserve">przewiduje skorygowanie, w ramach wzoru określonego w </w:t>
      </w:r>
      <w:r w:rsidR="00013372" w:rsidRPr="0039474D">
        <w:rPr>
          <w:rFonts w:ascii="Times New Roman" w:eastAsia="Times New Roman" w:hAnsi="Times New Roman" w:cs="Times New Roman"/>
          <w:spacing w:val="4"/>
          <w:sz w:val="24"/>
          <w:szCs w:val="24"/>
          <w:lang w:eastAsia="pl-PL"/>
        </w:rPr>
        <w:t>ustawie</w:t>
      </w:r>
      <w:r w:rsidRPr="0039474D">
        <w:rPr>
          <w:rFonts w:ascii="Times New Roman" w:eastAsia="Times New Roman" w:hAnsi="Times New Roman" w:cs="Times New Roman"/>
          <w:spacing w:val="4"/>
          <w:sz w:val="24"/>
          <w:szCs w:val="24"/>
          <w:lang w:eastAsia="pl-PL"/>
        </w:rPr>
        <w:t>, wskaźnika zmiany w czasie kosztów budowy lokalu mieszkalnego o roczny odpis uwzględniający „zużycie technologiczne” i stan techniczny budynku ustalony, przyjęty na poziomie 50% podstawowej stawki amortyzacji lokalu mieszkalnego</w:t>
      </w:r>
      <w:r w:rsidR="002C6A8D" w:rsidRPr="0039474D">
        <w:rPr>
          <w:rFonts w:ascii="Times New Roman" w:eastAsia="Times New Roman" w:hAnsi="Times New Roman" w:cs="Times New Roman"/>
          <w:spacing w:val="4"/>
          <w:sz w:val="24"/>
          <w:szCs w:val="24"/>
          <w:lang w:eastAsia="pl-PL"/>
        </w:rPr>
        <w:t xml:space="preserve"> (podstawowa stawka amortyzacji przy metodzie liniowej </w:t>
      </w:r>
      <w:r w:rsidR="00841C43" w:rsidRPr="0039474D">
        <w:rPr>
          <w:rFonts w:ascii="Times New Roman" w:eastAsia="Times New Roman" w:hAnsi="Times New Roman" w:cs="Times New Roman"/>
          <w:spacing w:val="4"/>
          <w:sz w:val="24"/>
          <w:szCs w:val="24"/>
          <w:lang w:eastAsia="pl-PL"/>
        </w:rPr>
        <w:t xml:space="preserve">wynosi </w:t>
      </w:r>
      <w:r w:rsidR="002C6A8D" w:rsidRPr="0039474D">
        <w:rPr>
          <w:rFonts w:ascii="Times New Roman" w:eastAsia="Times New Roman" w:hAnsi="Times New Roman" w:cs="Times New Roman"/>
          <w:spacing w:val="4"/>
          <w:sz w:val="24"/>
          <w:szCs w:val="24"/>
          <w:lang w:eastAsia="pl-PL"/>
        </w:rPr>
        <w:t>1,5%)</w:t>
      </w:r>
      <w:r w:rsidR="00AA1407" w:rsidRPr="0039474D">
        <w:rPr>
          <w:rFonts w:ascii="Times New Roman" w:eastAsia="Times New Roman" w:hAnsi="Times New Roman" w:cs="Times New Roman"/>
          <w:spacing w:val="4"/>
          <w:sz w:val="24"/>
          <w:szCs w:val="24"/>
          <w:lang w:eastAsia="pl-PL"/>
        </w:rPr>
        <w:t>.</w:t>
      </w:r>
      <w:r w:rsidRPr="0039474D">
        <w:rPr>
          <w:rFonts w:ascii="Times New Roman" w:eastAsia="Times New Roman" w:hAnsi="Times New Roman" w:cs="Times New Roman"/>
          <w:spacing w:val="4"/>
          <w:sz w:val="24"/>
          <w:szCs w:val="24"/>
          <w:lang w:eastAsia="pl-PL"/>
        </w:rPr>
        <w:t xml:space="preserve"> </w:t>
      </w:r>
    </w:p>
    <w:p w:rsidR="004C5BCC" w:rsidRPr="0039474D" w:rsidRDefault="004C5BCC"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Zgodnie z projektem ustawy zmodyfikowane zasady waloryzacji kwoty wniesionej partycypacji własnej, stosowane w oparciu o przepisy ustawy, byłyby </w:t>
      </w:r>
      <w:r w:rsidR="0029431E" w:rsidRPr="0039474D">
        <w:rPr>
          <w:rFonts w:ascii="Times New Roman" w:eastAsia="Times New Roman" w:hAnsi="Times New Roman" w:cs="Times New Roman"/>
          <w:sz w:val="24"/>
          <w:szCs w:val="24"/>
          <w:lang w:eastAsia="pl-PL"/>
        </w:rPr>
        <w:t>stosowan</w:t>
      </w:r>
      <w:r w:rsidRPr="0039474D">
        <w:rPr>
          <w:rFonts w:ascii="Times New Roman" w:eastAsia="Times New Roman" w:hAnsi="Times New Roman" w:cs="Times New Roman"/>
          <w:sz w:val="24"/>
          <w:szCs w:val="24"/>
          <w:lang w:eastAsia="pl-PL"/>
        </w:rPr>
        <w:t xml:space="preserve">e do umów </w:t>
      </w:r>
      <w:r w:rsidR="0029431E" w:rsidRPr="0039474D">
        <w:rPr>
          <w:rFonts w:ascii="Times New Roman" w:eastAsia="Times New Roman" w:hAnsi="Times New Roman" w:cs="Times New Roman"/>
          <w:sz w:val="24"/>
          <w:szCs w:val="24"/>
          <w:lang w:eastAsia="pl-PL"/>
        </w:rPr>
        <w:t xml:space="preserve">w sprawie partycypacji </w:t>
      </w:r>
      <w:r w:rsidRPr="0039474D">
        <w:rPr>
          <w:rFonts w:ascii="Times New Roman" w:eastAsia="Times New Roman" w:hAnsi="Times New Roman" w:cs="Times New Roman"/>
          <w:sz w:val="24"/>
          <w:szCs w:val="24"/>
          <w:lang w:eastAsia="pl-PL"/>
        </w:rPr>
        <w:t xml:space="preserve">zawartych z lokatorami mieszkań wybudowanych przy wykorzystaniu rządowego programu wsparcia, jak również – </w:t>
      </w:r>
      <w:r w:rsidR="00B67515" w:rsidRPr="0039474D">
        <w:rPr>
          <w:rFonts w:ascii="Times New Roman" w:eastAsia="Times New Roman" w:hAnsi="Times New Roman" w:cs="Times New Roman"/>
          <w:sz w:val="24"/>
          <w:szCs w:val="24"/>
          <w:lang w:eastAsia="pl-PL"/>
        </w:rPr>
        <w:t xml:space="preserve">z </w:t>
      </w:r>
      <w:r w:rsidRPr="0039474D">
        <w:rPr>
          <w:rFonts w:ascii="Times New Roman" w:eastAsia="Times New Roman" w:hAnsi="Times New Roman" w:cs="Times New Roman"/>
          <w:sz w:val="24"/>
          <w:szCs w:val="24"/>
          <w:lang w:eastAsia="pl-PL"/>
        </w:rPr>
        <w:t xml:space="preserve">zachowaniem praw nabytych </w:t>
      </w:r>
      <w:r w:rsidR="00EE7E8C">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mieszkań wybudowanych w ramach „programu KFM”.</w:t>
      </w:r>
    </w:p>
    <w:p w:rsidR="004C5BCC" w:rsidRPr="0039474D" w:rsidRDefault="004C5BCC"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Podsumowując, przykłady obrazujące aktualny stan prawny dotyczący art. 29a ust. 3 ustawy, zestawione z danymi obrazującymi efekt wprowadzenia rozwiązań proponowanych w projekcie ustawy, przedstawione zostały w zestawieniach tabelarycznych. W przykładowych analizach przyjęto założenia, że partycypacja wynosiła 15% kosztów budowy mieszkania o powierzchni użytkowej 50 m</w:t>
      </w:r>
      <w:r w:rsidRPr="0039474D">
        <w:rPr>
          <w:rFonts w:ascii="Times New Roman" w:eastAsia="Times New Roman" w:hAnsi="Times New Roman" w:cs="Times New Roman"/>
          <w:sz w:val="24"/>
          <w:szCs w:val="24"/>
          <w:vertAlign w:val="superscript"/>
          <w:lang w:eastAsia="pl-PL"/>
        </w:rPr>
        <w:t>2</w:t>
      </w:r>
      <w:r w:rsidRPr="0039474D">
        <w:rPr>
          <w:rFonts w:ascii="Times New Roman" w:eastAsia="Times New Roman" w:hAnsi="Times New Roman" w:cs="Times New Roman"/>
          <w:sz w:val="24"/>
          <w:szCs w:val="24"/>
          <w:lang w:eastAsia="pl-PL"/>
        </w:rPr>
        <w:t>, natomiast koszt budowy 1 m</w:t>
      </w:r>
      <w:r w:rsidRPr="0039474D">
        <w:rPr>
          <w:rFonts w:ascii="Times New Roman" w:eastAsia="Times New Roman" w:hAnsi="Times New Roman" w:cs="Times New Roman"/>
          <w:sz w:val="24"/>
          <w:szCs w:val="24"/>
          <w:vertAlign w:val="superscript"/>
          <w:lang w:eastAsia="pl-PL"/>
        </w:rPr>
        <w:t>2</w:t>
      </w:r>
      <w:r w:rsidRPr="0039474D">
        <w:rPr>
          <w:rFonts w:ascii="Times New Roman" w:eastAsia="Times New Roman" w:hAnsi="Times New Roman" w:cs="Times New Roman"/>
          <w:sz w:val="24"/>
          <w:szCs w:val="24"/>
          <w:lang w:eastAsia="pl-PL"/>
        </w:rPr>
        <w:t xml:space="preserve"> tej inwestycji kształtował się na poziomie 90% wskaźnika wartości odtworzeniowej mieszkania.</w:t>
      </w:r>
    </w:p>
    <w:p w:rsidR="001B2A2D" w:rsidRPr="0039474D" w:rsidRDefault="001B2A2D" w:rsidP="0039474D">
      <w:pPr>
        <w:spacing w:before="120" w:after="0" w:line="360" w:lineRule="auto"/>
        <w:jc w:val="both"/>
        <w:rPr>
          <w:rFonts w:ascii="Times New Roman" w:eastAsia="Times New Roman" w:hAnsi="Times New Roman" w:cs="Times New Roman"/>
          <w:sz w:val="24"/>
          <w:szCs w:val="24"/>
          <w:lang w:eastAsia="pl-PL"/>
        </w:rPr>
      </w:pPr>
    </w:p>
    <w:p w:rsidR="004C5BCC" w:rsidRPr="0039474D" w:rsidRDefault="004C5BCC"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lastRenderedPageBreak/>
        <w:t xml:space="preserve">Przykład 1. Zawarcie umowy i wpłata partycypacji w I kw. 2010 r.; rozwiązanie umowy i opróżnienie lokalu </w:t>
      </w:r>
      <w:r w:rsidR="000562B0" w:rsidRPr="0039474D">
        <w:rPr>
          <w:rFonts w:ascii="Times New Roman" w:eastAsia="Times New Roman" w:hAnsi="Times New Roman" w:cs="Times New Roman"/>
          <w:sz w:val="24"/>
          <w:szCs w:val="24"/>
          <w:lang w:eastAsia="pl-PL"/>
        </w:rPr>
        <w:t>w I kw. 2014 r</w:t>
      </w:r>
      <w:r w:rsidRPr="0039474D">
        <w:rPr>
          <w:rFonts w:ascii="Times New Roman" w:eastAsia="Times New Roman" w:hAnsi="Times New Roman" w:cs="Times New Roman"/>
          <w:sz w:val="24"/>
          <w:szCs w:val="24"/>
          <w:lang w:eastAsia="pl-PL"/>
        </w:rPr>
        <w:t>.</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w:t>
      </w:r>
      <w:proofErr w:type="spellStart"/>
      <w:r w:rsidRPr="0039474D">
        <w:rPr>
          <w:rFonts w:ascii="Times New Roman" w:eastAsia="Times New Roman" w:hAnsi="Times New Roman" w:cs="Times New Roman"/>
          <w:sz w:val="24"/>
          <w:szCs w:val="24"/>
          <w:lang w:eastAsia="pl-PL"/>
        </w:rPr>
        <w:t>C</w:t>
      </w:r>
      <w:r w:rsidRPr="0039474D">
        <w:rPr>
          <w:rFonts w:ascii="Times New Roman" w:eastAsia="Times New Roman" w:hAnsi="Times New Roman" w:cs="Times New Roman"/>
          <w:sz w:val="24"/>
          <w:szCs w:val="24"/>
          <w:vertAlign w:val="subscript"/>
          <w:lang w:eastAsia="pl-PL"/>
        </w:rPr>
        <w:t>w</w:t>
      </w:r>
      <w:proofErr w:type="spellEnd"/>
      <w:r w:rsidRPr="0039474D">
        <w:rPr>
          <w:rFonts w:ascii="Times New Roman" w:eastAsia="Times New Roman" w:hAnsi="Times New Roman" w:cs="Times New Roman"/>
          <w:sz w:val="24"/>
          <w:szCs w:val="24"/>
          <w:lang w:eastAsia="pl-PL"/>
        </w:rPr>
        <w:t xml:space="preserve"> = 4.011 zł; C</w:t>
      </w:r>
      <w:r w:rsidRPr="0039474D">
        <w:rPr>
          <w:rFonts w:ascii="Times New Roman" w:eastAsia="Times New Roman" w:hAnsi="Times New Roman" w:cs="Times New Roman"/>
          <w:sz w:val="24"/>
          <w:szCs w:val="24"/>
          <w:vertAlign w:val="subscript"/>
          <w:lang w:eastAsia="pl-PL"/>
        </w:rPr>
        <w:t>z</w:t>
      </w:r>
      <w:r w:rsidRPr="0039474D">
        <w:rPr>
          <w:rFonts w:ascii="Times New Roman" w:eastAsia="Times New Roman" w:hAnsi="Times New Roman" w:cs="Times New Roman"/>
          <w:sz w:val="24"/>
          <w:szCs w:val="24"/>
          <w:lang w:eastAsia="pl-PL"/>
        </w:rPr>
        <w:t xml:space="preserve"> = 4.053 zł; n = 3 lata)</w:t>
      </w:r>
    </w:p>
    <w:tbl>
      <w:tblPr>
        <w:tblStyle w:val="Tabela-Siatka"/>
        <w:tblW w:w="9288" w:type="dxa"/>
        <w:tblLook w:val="04A0" w:firstRow="1" w:lastRow="0" w:firstColumn="1" w:lastColumn="0" w:noHBand="0" w:noVBand="1"/>
      </w:tblPr>
      <w:tblGrid>
        <w:gridCol w:w="1666"/>
        <w:gridCol w:w="798"/>
        <w:gridCol w:w="880"/>
        <w:gridCol w:w="1042"/>
        <w:gridCol w:w="714"/>
        <w:gridCol w:w="989"/>
        <w:gridCol w:w="1001"/>
        <w:gridCol w:w="1197"/>
        <w:gridCol w:w="1001"/>
      </w:tblGrid>
      <w:tr w:rsidR="004C5BCC" w:rsidRPr="00EE7E8C" w:rsidTr="00AA1407">
        <w:trPr>
          <w:trHeight w:val="690"/>
        </w:trPr>
        <w:tc>
          <w:tcPr>
            <w:tcW w:w="1668" w:type="dxa"/>
            <w:shd w:val="clear" w:color="auto" w:fill="D9D9D9" w:themeFill="background1" w:themeFillShade="D9"/>
            <w:vAlign w:val="center"/>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p>
        </w:tc>
        <w:tc>
          <w:tcPr>
            <w:tcW w:w="799" w:type="dxa"/>
            <w:shd w:val="clear" w:color="auto" w:fill="D9D9D9" w:themeFill="background1" w:themeFillShade="D9"/>
            <w:vAlign w:val="center"/>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WO</w:t>
            </w:r>
          </w:p>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I kw. 2010.</w:t>
            </w:r>
          </w:p>
        </w:tc>
        <w:tc>
          <w:tcPr>
            <w:tcW w:w="880" w:type="dxa"/>
            <w:shd w:val="clear" w:color="auto" w:fill="D9D9D9" w:themeFill="background1" w:themeFillShade="D9"/>
            <w:vAlign w:val="center"/>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koszt budowy (90% WO)</w:t>
            </w:r>
          </w:p>
        </w:tc>
        <w:tc>
          <w:tcPr>
            <w:tcW w:w="1042" w:type="dxa"/>
            <w:shd w:val="clear" w:color="auto" w:fill="D9D9D9" w:themeFill="background1" w:themeFillShade="D9"/>
            <w:vAlign w:val="center"/>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partycypacja (50m</w:t>
            </w:r>
            <w:r w:rsidRPr="00AC0D8C">
              <w:rPr>
                <w:rFonts w:ascii="Times New Roman" w:eastAsia="Times New Roman" w:hAnsi="Times New Roman" w:cs="Times New Roman"/>
                <w:color w:val="000000"/>
                <w:sz w:val="16"/>
                <w:szCs w:val="16"/>
                <w:vertAlign w:val="superscript"/>
                <w:lang w:eastAsia="pl-PL"/>
              </w:rPr>
              <w:t>2</w:t>
            </w:r>
            <w:r w:rsidRPr="00AC0D8C">
              <w:rPr>
                <w:rFonts w:ascii="Times New Roman" w:eastAsia="Times New Roman" w:hAnsi="Times New Roman" w:cs="Times New Roman"/>
                <w:color w:val="000000"/>
                <w:sz w:val="16"/>
                <w:szCs w:val="16"/>
                <w:lang w:eastAsia="pl-PL"/>
              </w:rPr>
              <w:t>, 15%)</w:t>
            </w:r>
          </w:p>
        </w:tc>
        <w:tc>
          <w:tcPr>
            <w:tcW w:w="714" w:type="dxa"/>
            <w:shd w:val="clear" w:color="auto" w:fill="D9D9D9" w:themeFill="background1" w:themeFillShade="D9"/>
            <w:vAlign w:val="center"/>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WO</w:t>
            </w:r>
          </w:p>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I kw. 2014.</w:t>
            </w:r>
          </w:p>
        </w:tc>
        <w:tc>
          <w:tcPr>
            <w:tcW w:w="986" w:type="dxa"/>
            <w:shd w:val="clear" w:color="auto" w:fill="D9D9D9" w:themeFill="background1" w:themeFillShade="D9"/>
            <w:vAlign w:val="center"/>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waloryzacja (aktualnie)</w:t>
            </w:r>
          </w:p>
        </w:tc>
        <w:tc>
          <w:tcPr>
            <w:tcW w:w="1001" w:type="dxa"/>
            <w:shd w:val="clear" w:color="auto" w:fill="D9D9D9" w:themeFill="background1" w:themeFillShade="D9"/>
            <w:vAlign w:val="center"/>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zmiana 2014/2010</w:t>
            </w:r>
          </w:p>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(aktualnie)</w:t>
            </w:r>
          </w:p>
        </w:tc>
        <w:tc>
          <w:tcPr>
            <w:tcW w:w="1197" w:type="dxa"/>
            <w:shd w:val="clear" w:color="auto" w:fill="D9D9D9" w:themeFill="background1" w:themeFillShade="D9"/>
            <w:vAlign w:val="center"/>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waloryzacja (projekt)</w:t>
            </w:r>
          </w:p>
        </w:tc>
        <w:tc>
          <w:tcPr>
            <w:tcW w:w="1001" w:type="dxa"/>
            <w:shd w:val="clear" w:color="auto" w:fill="D9D9D9" w:themeFill="background1" w:themeFillShade="D9"/>
            <w:vAlign w:val="center"/>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zmiana 2014/2010</w:t>
            </w:r>
          </w:p>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(projekt)</w:t>
            </w:r>
          </w:p>
        </w:tc>
      </w:tr>
      <w:tr w:rsidR="004C5BCC" w:rsidRPr="00EE7E8C" w:rsidTr="00AA1407">
        <w:trPr>
          <w:trHeight w:val="300"/>
        </w:trPr>
        <w:tc>
          <w:tcPr>
            <w:tcW w:w="1668" w:type="dxa"/>
            <w:shd w:val="clear" w:color="auto" w:fill="D9D9D9" w:themeFill="background1" w:themeFillShade="D9"/>
            <w:noWrap/>
            <w:hideMark/>
          </w:tcPr>
          <w:p w:rsidR="004C5BCC" w:rsidRPr="00AC0D8C" w:rsidRDefault="004C5BCC" w:rsidP="00AA1407">
            <w:pPr>
              <w:rPr>
                <w:rFonts w:ascii="Times New Roman" w:eastAsia="Times New Roman" w:hAnsi="Times New Roman" w:cs="Times New Roman"/>
                <w:color w:val="000000"/>
                <w:sz w:val="16"/>
                <w:szCs w:val="16"/>
                <w:lang w:eastAsia="pl-PL"/>
              </w:rPr>
            </w:pPr>
            <w:r w:rsidRPr="00790732">
              <w:rPr>
                <w:rFonts w:ascii="Times New Roman" w:eastAsia="Times New Roman" w:hAnsi="Times New Roman" w:cs="Times New Roman"/>
                <w:color w:val="000000"/>
                <w:sz w:val="16"/>
                <w:szCs w:val="16"/>
                <w:lang w:eastAsia="pl-PL"/>
              </w:rPr>
              <w:t>Wrocław</w:t>
            </w:r>
          </w:p>
        </w:tc>
        <w:tc>
          <w:tcPr>
            <w:tcW w:w="799"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4 855</w:t>
            </w:r>
          </w:p>
        </w:tc>
        <w:tc>
          <w:tcPr>
            <w:tcW w:w="880"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4 370</w:t>
            </w:r>
          </w:p>
        </w:tc>
        <w:tc>
          <w:tcPr>
            <w:tcW w:w="1042"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32 771</w:t>
            </w:r>
          </w:p>
        </w:tc>
        <w:tc>
          <w:tcPr>
            <w:tcW w:w="714"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4 431</w:t>
            </w:r>
          </w:p>
        </w:tc>
        <w:tc>
          <w:tcPr>
            <w:tcW w:w="986"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33 233</w:t>
            </w:r>
          </w:p>
        </w:tc>
        <w:tc>
          <w:tcPr>
            <w:tcW w:w="1001" w:type="dxa"/>
            <w:shd w:val="clear" w:color="auto" w:fill="D9D9D9" w:themeFill="background1" w:themeFillShade="D9"/>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461</w:t>
            </w:r>
          </w:p>
        </w:tc>
        <w:tc>
          <w:tcPr>
            <w:tcW w:w="1197" w:type="dxa"/>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32 369</w:t>
            </w:r>
          </w:p>
        </w:tc>
        <w:tc>
          <w:tcPr>
            <w:tcW w:w="1001" w:type="dxa"/>
            <w:shd w:val="clear" w:color="auto" w:fill="D9D9D9" w:themeFill="background1" w:themeFillShade="D9"/>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-402</w:t>
            </w:r>
          </w:p>
        </w:tc>
      </w:tr>
      <w:tr w:rsidR="004C5BCC" w:rsidRPr="00EE7E8C" w:rsidTr="00AA1407">
        <w:trPr>
          <w:trHeight w:val="300"/>
        </w:trPr>
        <w:tc>
          <w:tcPr>
            <w:tcW w:w="1668" w:type="dxa"/>
            <w:shd w:val="clear" w:color="auto" w:fill="D9D9D9" w:themeFill="background1" w:themeFillShade="D9"/>
            <w:noWrap/>
            <w:hideMark/>
          </w:tcPr>
          <w:p w:rsidR="004C5BCC" w:rsidRPr="00AC0D8C" w:rsidRDefault="004C5BCC" w:rsidP="00AA1407">
            <w:pP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Warszawa</w:t>
            </w:r>
          </w:p>
        </w:tc>
        <w:tc>
          <w:tcPr>
            <w:tcW w:w="799"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5 536</w:t>
            </w:r>
          </w:p>
        </w:tc>
        <w:tc>
          <w:tcPr>
            <w:tcW w:w="880"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4 982</w:t>
            </w:r>
          </w:p>
        </w:tc>
        <w:tc>
          <w:tcPr>
            <w:tcW w:w="1042"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37 368</w:t>
            </w:r>
          </w:p>
        </w:tc>
        <w:tc>
          <w:tcPr>
            <w:tcW w:w="714"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5 258</w:t>
            </w:r>
          </w:p>
        </w:tc>
        <w:tc>
          <w:tcPr>
            <w:tcW w:w="986"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39 435</w:t>
            </w:r>
          </w:p>
        </w:tc>
        <w:tc>
          <w:tcPr>
            <w:tcW w:w="1001" w:type="dxa"/>
            <w:shd w:val="clear" w:color="auto" w:fill="D9D9D9" w:themeFill="background1" w:themeFillShade="D9"/>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2 067</w:t>
            </w:r>
          </w:p>
        </w:tc>
        <w:tc>
          <w:tcPr>
            <w:tcW w:w="1197" w:type="dxa"/>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36 910</w:t>
            </w:r>
          </w:p>
        </w:tc>
        <w:tc>
          <w:tcPr>
            <w:tcW w:w="1001" w:type="dxa"/>
            <w:shd w:val="clear" w:color="auto" w:fill="D9D9D9" w:themeFill="background1" w:themeFillShade="D9"/>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-458</w:t>
            </w:r>
          </w:p>
        </w:tc>
      </w:tr>
      <w:tr w:rsidR="004C5BCC" w:rsidRPr="00EE7E8C" w:rsidTr="00AA1407">
        <w:trPr>
          <w:trHeight w:val="300"/>
        </w:trPr>
        <w:tc>
          <w:tcPr>
            <w:tcW w:w="1668" w:type="dxa"/>
            <w:shd w:val="clear" w:color="auto" w:fill="D9D9D9" w:themeFill="background1" w:themeFillShade="D9"/>
            <w:noWrap/>
            <w:hideMark/>
          </w:tcPr>
          <w:p w:rsidR="004C5BCC" w:rsidRPr="00AC0D8C" w:rsidRDefault="004C5BCC" w:rsidP="00AA1407">
            <w:pPr>
              <w:rPr>
                <w:rFonts w:ascii="Times New Roman" w:eastAsia="Times New Roman" w:hAnsi="Times New Roman" w:cs="Times New Roman"/>
                <w:color w:val="000000"/>
                <w:sz w:val="16"/>
                <w:szCs w:val="16"/>
                <w:lang w:eastAsia="pl-PL"/>
              </w:rPr>
            </w:pPr>
            <w:r w:rsidRPr="00790732">
              <w:rPr>
                <w:rFonts w:ascii="Times New Roman" w:eastAsia="Times New Roman" w:hAnsi="Times New Roman" w:cs="Times New Roman"/>
                <w:color w:val="000000"/>
                <w:sz w:val="16"/>
                <w:szCs w:val="16"/>
                <w:lang w:eastAsia="pl-PL"/>
              </w:rPr>
              <w:t>Poznań</w:t>
            </w:r>
          </w:p>
        </w:tc>
        <w:tc>
          <w:tcPr>
            <w:tcW w:w="799"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4 930</w:t>
            </w:r>
          </w:p>
        </w:tc>
        <w:tc>
          <w:tcPr>
            <w:tcW w:w="880"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4 437</w:t>
            </w:r>
          </w:p>
        </w:tc>
        <w:tc>
          <w:tcPr>
            <w:tcW w:w="1042"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33 278</w:t>
            </w:r>
          </w:p>
        </w:tc>
        <w:tc>
          <w:tcPr>
            <w:tcW w:w="714"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5 370</w:t>
            </w:r>
          </w:p>
        </w:tc>
        <w:tc>
          <w:tcPr>
            <w:tcW w:w="986"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40 275</w:t>
            </w:r>
          </w:p>
        </w:tc>
        <w:tc>
          <w:tcPr>
            <w:tcW w:w="1001" w:type="dxa"/>
            <w:shd w:val="clear" w:color="auto" w:fill="D9D9D9" w:themeFill="background1" w:themeFillShade="D9"/>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6 998</w:t>
            </w:r>
          </w:p>
        </w:tc>
        <w:tc>
          <w:tcPr>
            <w:tcW w:w="1197" w:type="dxa"/>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32 869</w:t>
            </w:r>
          </w:p>
        </w:tc>
        <w:tc>
          <w:tcPr>
            <w:tcW w:w="1001" w:type="dxa"/>
            <w:shd w:val="clear" w:color="auto" w:fill="D9D9D9" w:themeFill="background1" w:themeFillShade="D9"/>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-408</w:t>
            </w:r>
          </w:p>
        </w:tc>
      </w:tr>
      <w:tr w:rsidR="004C5BCC" w:rsidRPr="00EE7E8C" w:rsidTr="00AA1407">
        <w:trPr>
          <w:trHeight w:val="300"/>
        </w:trPr>
        <w:tc>
          <w:tcPr>
            <w:tcW w:w="1668" w:type="dxa"/>
            <w:shd w:val="clear" w:color="auto" w:fill="D9D9D9" w:themeFill="background1" w:themeFillShade="D9"/>
            <w:noWrap/>
            <w:hideMark/>
          </w:tcPr>
          <w:p w:rsidR="004C5BCC" w:rsidRPr="00AC0D8C" w:rsidRDefault="004C5BCC" w:rsidP="00AA1407">
            <w:pPr>
              <w:rPr>
                <w:rFonts w:ascii="Times New Roman" w:eastAsia="Times New Roman" w:hAnsi="Times New Roman" w:cs="Times New Roman"/>
                <w:color w:val="000000"/>
                <w:sz w:val="16"/>
                <w:szCs w:val="16"/>
                <w:lang w:eastAsia="pl-PL"/>
              </w:rPr>
            </w:pPr>
            <w:r w:rsidRPr="00790732">
              <w:rPr>
                <w:rFonts w:ascii="Times New Roman" w:eastAsia="Times New Roman" w:hAnsi="Times New Roman" w:cs="Times New Roman"/>
                <w:color w:val="000000"/>
                <w:sz w:val="16"/>
                <w:szCs w:val="16"/>
                <w:lang w:eastAsia="pl-PL"/>
              </w:rPr>
              <w:t>Szczecin</w:t>
            </w:r>
          </w:p>
        </w:tc>
        <w:tc>
          <w:tcPr>
            <w:tcW w:w="799"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3 478</w:t>
            </w:r>
          </w:p>
        </w:tc>
        <w:tc>
          <w:tcPr>
            <w:tcW w:w="880"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3 130</w:t>
            </w:r>
          </w:p>
        </w:tc>
        <w:tc>
          <w:tcPr>
            <w:tcW w:w="1042"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23 477</w:t>
            </w:r>
          </w:p>
        </w:tc>
        <w:tc>
          <w:tcPr>
            <w:tcW w:w="714"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4 090</w:t>
            </w:r>
          </w:p>
        </w:tc>
        <w:tc>
          <w:tcPr>
            <w:tcW w:w="986"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30 675</w:t>
            </w:r>
          </w:p>
        </w:tc>
        <w:tc>
          <w:tcPr>
            <w:tcW w:w="1001" w:type="dxa"/>
            <w:shd w:val="clear" w:color="auto" w:fill="D9D9D9" w:themeFill="background1" w:themeFillShade="D9"/>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7 199</w:t>
            </w:r>
          </w:p>
        </w:tc>
        <w:tc>
          <w:tcPr>
            <w:tcW w:w="1197" w:type="dxa"/>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23 189</w:t>
            </w:r>
          </w:p>
        </w:tc>
        <w:tc>
          <w:tcPr>
            <w:tcW w:w="1001" w:type="dxa"/>
            <w:shd w:val="clear" w:color="auto" w:fill="D9D9D9" w:themeFill="background1" w:themeFillShade="D9"/>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-288</w:t>
            </w:r>
          </w:p>
        </w:tc>
      </w:tr>
      <w:tr w:rsidR="004C5BCC" w:rsidRPr="00EE7E8C" w:rsidTr="00AA1407">
        <w:trPr>
          <w:trHeight w:val="300"/>
        </w:trPr>
        <w:tc>
          <w:tcPr>
            <w:tcW w:w="1668" w:type="dxa"/>
            <w:shd w:val="clear" w:color="auto" w:fill="D9D9D9" w:themeFill="background1" w:themeFillShade="D9"/>
            <w:noWrap/>
            <w:hideMark/>
          </w:tcPr>
          <w:p w:rsidR="004C5BCC" w:rsidRPr="00AC0D8C"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Lublin</w:t>
            </w:r>
          </w:p>
        </w:tc>
        <w:tc>
          <w:tcPr>
            <w:tcW w:w="799"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3 148</w:t>
            </w:r>
          </w:p>
        </w:tc>
        <w:tc>
          <w:tcPr>
            <w:tcW w:w="880"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2 833</w:t>
            </w:r>
          </w:p>
        </w:tc>
        <w:tc>
          <w:tcPr>
            <w:tcW w:w="1042"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21 249</w:t>
            </w:r>
          </w:p>
        </w:tc>
        <w:tc>
          <w:tcPr>
            <w:tcW w:w="714"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3 835</w:t>
            </w:r>
          </w:p>
        </w:tc>
        <w:tc>
          <w:tcPr>
            <w:tcW w:w="986" w:type="dxa"/>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28 763</w:t>
            </w:r>
          </w:p>
        </w:tc>
        <w:tc>
          <w:tcPr>
            <w:tcW w:w="1001" w:type="dxa"/>
            <w:shd w:val="clear" w:color="auto" w:fill="D9D9D9" w:themeFill="background1" w:themeFillShade="D9"/>
            <w:noWrap/>
            <w:hideMark/>
          </w:tcPr>
          <w:p w:rsidR="004C5BCC" w:rsidRPr="00AC0D8C" w:rsidRDefault="004C5BCC" w:rsidP="00AA1407">
            <w:pPr>
              <w:jc w:val="center"/>
              <w:rPr>
                <w:rFonts w:ascii="Times New Roman" w:eastAsia="Times New Roman" w:hAnsi="Times New Roman" w:cs="Times New Roman"/>
                <w:color w:val="000000"/>
                <w:sz w:val="16"/>
                <w:szCs w:val="16"/>
                <w:lang w:eastAsia="pl-PL"/>
              </w:rPr>
            </w:pPr>
            <w:r w:rsidRPr="00AC0D8C">
              <w:rPr>
                <w:rFonts w:ascii="Times New Roman" w:eastAsia="Times New Roman" w:hAnsi="Times New Roman" w:cs="Times New Roman"/>
                <w:color w:val="000000"/>
                <w:sz w:val="16"/>
                <w:szCs w:val="16"/>
                <w:lang w:eastAsia="pl-PL"/>
              </w:rPr>
              <w:t>7 514</w:t>
            </w:r>
          </w:p>
        </w:tc>
        <w:tc>
          <w:tcPr>
            <w:tcW w:w="1197" w:type="dxa"/>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20 988</w:t>
            </w:r>
          </w:p>
        </w:tc>
        <w:tc>
          <w:tcPr>
            <w:tcW w:w="1001" w:type="dxa"/>
            <w:shd w:val="clear" w:color="auto" w:fill="D9D9D9" w:themeFill="background1" w:themeFillShade="D9"/>
            <w:noWrap/>
            <w:vAlign w:val="bottom"/>
            <w:hideMark/>
          </w:tcPr>
          <w:p w:rsidR="004C5BCC" w:rsidRPr="00AC0D8C" w:rsidRDefault="004C5BCC" w:rsidP="00AA1407">
            <w:pPr>
              <w:jc w:val="center"/>
              <w:rPr>
                <w:rFonts w:ascii="Times New Roman" w:hAnsi="Times New Roman" w:cs="Times New Roman"/>
                <w:color w:val="000000"/>
                <w:sz w:val="16"/>
                <w:szCs w:val="16"/>
              </w:rPr>
            </w:pPr>
            <w:r w:rsidRPr="00AC0D8C">
              <w:rPr>
                <w:rFonts w:ascii="Times New Roman" w:hAnsi="Times New Roman" w:cs="Times New Roman"/>
                <w:color w:val="000000"/>
                <w:sz w:val="16"/>
                <w:szCs w:val="16"/>
              </w:rPr>
              <w:t>-261</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790732">
              <w:rPr>
                <w:rFonts w:ascii="Times New Roman" w:eastAsia="Times New Roman" w:hAnsi="Times New Roman" w:cs="Times New Roman"/>
                <w:color w:val="000000"/>
                <w:sz w:val="16"/>
                <w:szCs w:val="16"/>
                <w:lang w:eastAsia="pl-PL"/>
              </w:rPr>
              <w:t>Katowice</w:t>
            </w:r>
          </w:p>
        </w:tc>
        <w:tc>
          <w:tcPr>
            <w:tcW w:w="799"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3 757</w:t>
            </w:r>
          </w:p>
        </w:tc>
        <w:tc>
          <w:tcPr>
            <w:tcW w:w="880"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3 381</w:t>
            </w:r>
          </w:p>
        </w:tc>
        <w:tc>
          <w:tcPr>
            <w:tcW w:w="1042"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25 360</w:t>
            </w:r>
          </w:p>
        </w:tc>
        <w:tc>
          <w:tcPr>
            <w:tcW w:w="714"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4 275</w:t>
            </w:r>
          </w:p>
        </w:tc>
        <w:tc>
          <w:tcPr>
            <w:tcW w:w="986"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32 063</w:t>
            </w:r>
          </w:p>
        </w:tc>
        <w:tc>
          <w:tcPr>
            <w:tcW w:w="1001" w:type="dxa"/>
            <w:shd w:val="clear" w:color="auto" w:fill="D9D9D9" w:themeFill="background1" w:themeFillShade="D9"/>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6 703</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25 049</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-311</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790732">
              <w:rPr>
                <w:rFonts w:ascii="Times New Roman" w:eastAsia="Times New Roman" w:hAnsi="Times New Roman" w:cs="Times New Roman"/>
                <w:color w:val="000000"/>
                <w:sz w:val="16"/>
                <w:szCs w:val="16"/>
                <w:lang w:eastAsia="pl-PL"/>
              </w:rPr>
              <w:t>dolnośląskie</w:t>
            </w:r>
          </w:p>
        </w:tc>
        <w:tc>
          <w:tcPr>
            <w:tcW w:w="799"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3 776</w:t>
            </w:r>
          </w:p>
        </w:tc>
        <w:tc>
          <w:tcPr>
            <w:tcW w:w="880"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3 398</w:t>
            </w:r>
          </w:p>
        </w:tc>
        <w:tc>
          <w:tcPr>
            <w:tcW w:w="1042"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25 488</w:t>
            </w:r>
          </w:p>
        </w:tc>
        <w:tc>
          <w:tcPr>
            <w:tcW w:w="714"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3 360</w:t>
            </w:r>
          </w:p>
        </w:tc>
        <w:tc>
          <w:tcPr>
            <w:tcW w:w="986"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25 200</w:t>
            </w:r>
          </w:p>
        </w:tc>
        <w:tc>
          <w:tcPr>
            <w:tcW w:w="1001" w:type="dxa"/>
            <w:shd w:val="clear" w:color="auto" w:fill="D9D9D9" w:themeFill="background1" w:themeFillShade="D9"/>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-288</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25 175</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-313</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790732">
              <w:rPr>
                <w:rFonts w:ascii="Times New Roman" w:eastAsia="Times New Roman" w:hAnsi="Times New Roman" w:cs="Times New Roman"/>
                <w:color w:val="000000"/>
                <w:sz w:val="16"/>
                <w:szCs w:val="16"/>
                <w:lang w:eastAsia="pl-PL"/>
              </w:rPr>
              <w:t>mazowieckie</w:t>
            </w:r>
          </w:p>
        </w:tc>
        <w:tc>
          <w:tcPr>
            <w:tcW w:w="799"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4 528</w:t>
            </w:r>
          </w:p>
        </w:tc>
        <w:tc>
          <w:tcPr>
            <w:tcW w:w="880"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4 075</w:t>
            </w:r>
          </w:p>
        </w:tc>
        <w:tc>
          <w:tcPr>
            <w:tcW w:w="1042"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30 564</w:t>
            </w:r>
          </w:p>
        </w:tc>
        <w:tc>
          <w:tcPr>
            <w:tcW w:w="714"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3 203</w:t>
            </w:r>
          </w:p>
        </w:tc>
        <w:tc>
          <w:tcPr>
            <w:tcW w:w="986"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24 023</w:t>
            </w:r>
          </w:p>
        </w:tc>
        <w:tc>
          <w:tcPr>
            <w:tcW w:w="1001" w:type="dxa"/>
            <w:shd w:val="clear" w:color="auto" w:fill="D9D9D9" w:themeFill="background1" w:themeFillShade="D9"/>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-6 542</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30 189</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-375</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790732">
              <w:rPr>
                <w:rFonts w:ascii="Times New Roman" w:eastAsia="Times New Roman" w:hAnsi="Times New Roman" w:cs="Times New Roman"/>
                <w:color w:val="000000"/>
                <w:sz w:val="16"/>
                <w:szCs w:val="16"/>
                <w:lang w:eastAsia="pl-PL"/>
              </w:rPr>
              <w:t>wielkopolskie</w:t>
            </w:r>
          </w:p>
        </w:tc>
        <w:tc>
          <w:tcPr>
            <w:tcW w:w="799"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3 043</w:t>
            </w:r>
          </w:p>
        </w:tc>
        <w:tc>
          <w:tcPr>
            <w:tcW w:w="880"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2 739</w:t>
            </w:r>
          </w:p>
        </w:tc>
        <w:tc>
          <w:tcPr>
            <w:tcW w:w="1042"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20 540</w:t>
            </w:r>
          </w:p>
        </w:tc>
        <w:tc>
          <w:tcPr>
            <w:tcW w:w="714"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3 810</w:t>
            </w:r>
          </w:p>
        </w:tc>
        <w:tc>
          <w:tcPr>
            <w:tcW w:w="986"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28 575</w:t>
            </w:r>
          </w:p>
        </w:tc>
        <w:tc>
          <w:tcPr>
            <w:tcW w:w="1001" w:type="dxa"/>
            <w:shd w:val="clear" w:color="auto" w:fill="D9D9D9" w:themeFill="background1" w:themeFillShade="D9"/>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8 035</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20 288</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-252</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790732">
              <w:rPr>
                <w:rFonts w:ascii="Times New Roman" w:eastAsia="Times New Roman" w:hAnsi="Times New Roman" w:cs="Times New Roman"/>
                <w:color w:val="000000"/>
                <w:sz w:val="16"/>
                <w:szCs w:val="16"/>
                <w:lang w:eastAsia="pl-PL"/>
              </w:rPr>
              <w:t>zachodniopomorskie</w:t>
            </w:r>
          </w:p>
        </w:tc>
        <w:tc>
          <w:tcPr>
            <w:tcW w:w="799"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3 370</w:t>
            </w:r>
          </w:p>
        </w:tc>
        <w:tc>
          <w:tcPr>
            <w:tcW w:w="880"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3 033</w:t>
            </w:r>
          </w:p>
        </w:tc>
        <w:tc>
          <w:tcPr>
            <w:tcW w:w="1042"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22 748</w:t>
            </w:r>
          </w:p>
        </w:tc>
        <w:tc>
          <w:tcPr>
            <w:tcW w:w="714"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3 559</w:t>
            </w:r>
          </w:p>
        </w:tc>
        <w:tc>
          <w:tcPr>
            <w:tcW w:w="986"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26 693</w:t>
            </w:r>
          </w:p>
        </w:tc>
        <w:tc>
          <w:tcPr>
            <w:tcW w:w="1001" w:type="dxa"/>
            <w:shd w:val="clear" w:color="auto" w:fill="D9D9D9" w:themeFill="background1" w:themeFillShade="D9"/>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3 945</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22 469</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-279</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790732">
              <w:rPr>
                <w:rFonts w:ascii="Times New Roman" w:eastAsia="Times New Roman" w:hAnsi="Times New Roman" w:cs="Times New Roman"/>
                <w:color w:val="000000"/>
                <w:sz w:val="16"/>
                <w:szCs w:val="16"/>
                <w:lang w:eastAsia="pl-PL"/>
              </w:rPr>
              <w:t>lubelskie</w:t>
            </w:r>
          </w:p>
        </w:tc>
        <w:tc>
          <w:tcPr>
            <w:tcW w:w="799"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2 762</w:t>
            </w:r>
          </w:p>
        </w:tc>
        <w:tc>
          <w:tcPr>
            <w:tcW w:w="880"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2 486</w:t>
            </w:r>
          </w:p>
        </w:tc>
        <w:tc>
          <w:tcPr>
            <w:tcW w:w="1042"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18 644</w:t>
            </w:r>
          </w:p>
        </w:tc>
        <w:tc>
          <w:tcPr>
            <w:tcW w:w="714"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2 710</w:t>
            </w:r>
          </w:p>
        </w:tc>
        <w:tc>
          <w:tcPr>
            <w:tcW w:w="986"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20 325</w:t>
            </w:r>
          </w:p>
        </w:tc>
        <w:tc>
          <w:tcPr>
            <w:tcW w:w="1001" w:type="dxa"/>
            <w:shd w:val="clear" w:color="auto" w:fill="D9D9D9" w:themeFill="background1" w:themeFillShade="D9"/>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1 682</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18 415</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-229</w:t>
            </w:r>
          </w:p>
        </w:tc>
      </w:tr>
      <w:tr w:rsidR="004C5BCC" w:rsidRPr="00EE7E8C" w:rsidTr="00AA1407">
        <w:trPr>
          <w:trHeight w:val="315"/>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4D36DA">
              <w:rPr>
                <w:rFonts w:ascii="Times New Roman" w:eastAsia="Times New Roman" w:hAnsi="Times New Roman" w:cs="Times New Roman"/>
                <w:color w:val="000000"/>
                <w:sz w:val="16"/>
                <w:szCs w:val="16"/>
                <w:lang w:eastAsia="pl-PL"/>
              </w:rPr>
              <w:t>śląskie</w:t>
            </w:r>
          </w:p>
        </w:tc>
        <w:tc>
          <w:tcPr>
            <w:tcW w:w="799"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3 323</w:t>
            </w:r>
          </w:p>
        </w:tc>
        <w:tc>
          <w:tcPr>
            <w:tcW w:w="880"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2 991</w:t>
            </w:r>
          </w:p>
        </w:tc>
        <w:tc>
          <w:tcPr>
            <w:tcW w:w="1042"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22 430</w:t>
            </w:r>
          </w:p>
        </w:tc>
        <w:tc>
          <w:tcPr>
            <w:tcW w:w="714"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3 527</w:t>
            </w:r>
          </w:p>
        </w:tc>
        <w:tc>
          <w:tcPr>
            <w:tcW w:w="986" w:type="dxa"/>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26 453</w:t>
            </w:r>
          </w:p>
        </w:tc>
        <w:tc>
          <w:tcPr>
            <w:tcW w:w="1001" w:type="dxa"/>
            <w:shd w:val="clear" w:color="auto" w:fill="D9D9D9" w:themeFill="background1" w:themeFillShade="D9"/>
            <w:noWrap/>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4 022</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22 155</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-275</w:t>
            </w:r>
          </w:p>
        </w:tc>
      </w:tr>
    </w:tbl>
    <w:p w:rsidR="0039474D" w:rsidRDefault="0039474D" w:rsidP="004C5BCC">
      <w:pPr>
        <w:spacing w:after="120" w:line="240" w:lineRule="exact"/>
        <w:jc w:val="both"/>
        <w:rPr>
          <w:rFonts w:eastAsia="Times New Roman" w:cs="Times New Roman"/>
          <w:i/>
          <w:lang w:eastAsia="pl-PL"/>
        </w:rPr>
      </w:pPr>
    </w:p>
    <w:p w:rsidR="004C5BCC" w:rsidRPr="0039474D" w:rsidRDefault="004C5BCC" w:rsidP="0039474D">
      <w:pPr>
        <w:spacing w:after="12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Przykład 2. Zawarcie umowy i wpłata partycypacji w I kw. 2014 r.; rozwiązanie umowy i opróżnienie lokalu w IV kw.</w:t>
      </w:r>
      <w:r w:rsidRPr="0039474D">
        <w:rPr>
          <w:rStyle w:val="Odwoanieprzypisudolnego"/>
          <w:rFonts w:ascii="Times New Roman" w:eastAsia="Times New Roman" w:hAnsi="Times New Roman" w:cs="Times New Roman"/>
          <w:sz w:val="24"/>
          <w:szCs w:val="24"/>
          <w:lang w:eastAsia="pl-PL"/>
        </w:rPr>
        <w:footnoteReference w:id="8"/>
      </w:r>
      <w:r w:rsidRPr="0039474D">
        <w:rPr>
          <w:rFonts w:ascii="Times New Roman" w:eastAsia="Times New Roman" w:hAnsi="Times New Roman" w:cs="Times New Roman"/>
          <w:sz w:val="24"/>
          <w:szCs w:val="24"/>
          <w:lang w:eastAsia="pl-PL"/>
        </w:rPr>
        <w:t xml:space="preserve"> 2014 r. (</w:t>
      </w:r>
      <w:proofErr w:type="spellStart"/>
      <w:r w:rsidRPr="0039474D">
        <w:rPr>
          <w:rFonts w:ascii="Times New Roman" w:eastAsia="Times New Roman" w:hAnsi="Times New Roman" w:cs="Times New Roman"/>
          <w:sz w:val="24"/>
          <w:szCs w:val="24"/>
          <w:lang w:eastAsia="pl-PL"/>
        </w:rPr>
        <w:t>C</w:t>
      </w:r>
      <w:r w:rsidRPr="0039474D">
        <w:rPr>
          <w:rFonts w:ascii="Times New Roman" w:eastAsia="Times New Roman" w:hAnsi="Times New Roman" w:cs="Times New Roman"/>
          <w:sz w:val="24"/>
          <w:szCs w:val="24"/>
          <w:vertAlign w:val="subscript"/>
          <w:lang w:eastAsia="pl-PL"/>
        </w:rPr>
        <w:t>w</w:t>
      </w:r>
      <w:proofErr w:type="spellEnd"/>
      <w:r w:rsidRPr="0039474D">
        <w:rPr>
          <w:rFonts w:ascii="Times New Roman" w:eastAsia="Times New Roman" w:hAnsi="Times New Roman" w:cs="Times New Roman"/>
          <w:sz w:val="24"/>
          <w:szCs w:val="24"/>
          <w:lang w:eastAsia="pl-PL"/>
        </w:rPr>
        <w:t xml:space="preserve"> = 4.053 zł; C</w:t>
      </w:r>
      <w:r w:rsidRPr="0039474D">
        <w:rPr>
          <w:rFonts w:ascii="Times New Roman" w:eastAsia="Times New Roman" w:hAnsi="Times New Roman" w:cs="Times New Roman"/>
          <w:sz w:val="24"/>
          <w:szCs w:val="24"/>
          <w:vertAlign w:val="subscript"/>
          <w:lang w:eastAsia="pl-PL"/>
        </w:rPr>
        <w:t>z</w:t>
      </w:r>
      <w:r w:rsidRPr="0039474D">
        <w:rPr>
          <w:rFonts w:ascii="Times New Roman" w:eastAsia="Times New Roman" w:hAnsi="Times New Roman" w:cs="Times New Roman"/>
          <w:sz w:val="24"/>
          <w:szCs w:val="24"/>
          <w:lang w:eastAsia="pl-PL"/>
        </w:rPr>
        <w:t xml:space="preserve"> = 4.118 zł; n = 0 lat</w:t>
      </w:r>
      <w:r w:rsidRPr="0039474D">
        <w:rPr>
          <w:rStyle w:val="Odwoanieprzypisudolnego"/>
          <w:rFonts w:ascii="Times New Roman" w:eastAsia="Times New Roman" w:hAnsi="Times New Roman" w:cs="Times New Roman"/>
          <w:sz w:val="24"/>
          <w:szCs w:val="24"/>
          <w:lang w:eastAsia="pl-PL"/>
        </w:rPr>
        <w:footnoteReference w:id="9"/>
      </w:r>
      <w:r w:rsidR="00EE7E8C">
        <w:rPr>
          <w:rFonts w:ascii="Times New Roman" w:eastAsia="Times New Roman" w:hAnsi="Times New Roman" w:cs="Times New Roman"/>
          <w:sz w:val="24"/>
          <w:szCs w:val="24"/>
          <w:vertAlign w:val="superscript"/>
          <w:lang w:eastAsia="pl-PL"/>
        </w:rPr>
        <w:t>)</w:t>
      </w:r>
      <w:r w:rsidRPr="0039474D">
        <w:rPr>
          <w:rFonts w:ascii="Times New Roman" w:eastAsia="Times New Roman" w:hAnsi="Times New Roman" w:cs="Times New Roman"/>
          <w:sz w:val="24"/>
          <w:szCs w:val="24"/>
          <w:lang w:eastAsia="pl-PL"/>
        </w:rPr>
        <w:t>)</w:t>
      </w:r>
    </w:p>
    <w:tbl>
      <w:tblPr>
        <w:tblStyle w:val="Tabela-Siatka"/>
        <w:tblW w:w="9288" w:type="dxa"/>
        <w:tblLook w:val="04A0" w:firstRow="1" w:lastRow="0" w:firstColumn="1" w:lastColumn="0" w:noHBand="0" w:noVBand="1"/>
      </w:tblPr>
      <w:tblGrid>
        <w:gridCol w:w="1666"/>
        <w:gridCol w:w="798"/>
        <w:gridCol w:w="880"/>
        <w:gridCol w:w="1042"/>
        <w:gridCol w:w="714"/>
        <w:gridCol w:w="989"/>
        <w:gridCol w:w="1001"/>
        <w:gridCol w:w="1197"/>
        <w:gridCol w:w="1001"/>
      </w:tblGrid>
      <w:tr w:rsidR="004C5BCC" w:rsidRPr="0039474D" w:rsidTr="00AA1407">
        <w:trPr>
          <w:trHeight w:val="690"/>
        </w:trPr>
        <w:tc>
          <w:tcPr>
            <w:tcW w:w="1668" w:type="dxa"/>
            <w:shd w:val="clear" w:color="auto" w:fill="D9D9D9" w:themeFill="background1" w:themeFillShade="D9"/>
            <w:hideMark/>
          </w:tcPr>
          <w:p w:rsidR="004C5BCC" w:rsidRPr="0039474D" w:rsidRDefault="004C5BCC" w:rsidP="00AA1407">
            <w:pPr>
              <w:jc w:val="center"/>
              <w:rPr>
                <w:rFonts w:ascii="Times New Roman" w:eastAsia="Times New Roman" w:hAnsi="Times New Roman" w:cs="Times New Roman"/>
                <w:color w:val="000000"/>
                <w:sz w:val="16"/>
                <w:szCs w:val="16"/>
                <w:lang w:eastAsia="pl-PL"/>
              </w:rPr>
            </w:pPr>
          </w:p>
        </w:tc>
        <w:tc>
          <w:tcPr>
            <w:tcW w:w="799" w:type="dxa"/>
            <w:shd w:val="clear" w:color="auto" w:fill="D9D9D9" w:themeFill="background1" w:themeFillShade="D9"/>
            <w:vAlign w:val="center"/>
            <w:hideMark/>
          </w:tcPr>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WO</w:t>
            </w:r>
          </w:p>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I kw. 2014</w:t>
            </w:r>
          </w:p>
        </w:tc>
        <w:tc>
          <w:tcPr>
            <w:tcW w:w="880" w:type="dxa"/>
            <w:shd w:val="clear" w:color="auto" w:fill="D9D9D9" w:themeFill="background1" w:themeFillShade="D9"/>
            <w:vAlign w:val="center"/>
            <w:hideMark/>
          </w:tcPr>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koszt budowy (90% WO)</w:t>
            </w:r>
          </w:p>
        </w:tc>
        <w:tc>
          <w:tcPr>
            <w:tcW w:w="1042" w:type="dxa"/>
            <w:shd w:val="clear" w:color="auto" w:fill="D9D9D9" w:themeFill="background1" w:themeFillShade="D9"/>
            <w:vAlign w:val="center"/>
            <w:hideMark/>
          </w:tcPr>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partycypacja (50m</w:t>
            </w:r>
            <w:r w:rsidRPr="0039474D">
              <w:rPr>
                <w:rFonts w:ascii="Times New Roman" w:eastAsia="Times New Roman" w:hAnsi="Times New Roman" w:cs="Times New Roman"/>
                <w:color w:val="000000"/>
                <w:sz w:val="16"/>
                <w:szCs w:val="16"/>
                <w:vertAlign w:val="superscript"/>
                <w:lang w:eastAsia="pl-PL"/>
              </w:rPr>
              <w:t>2</w:t>
            </w:r>
            <w:r w:rsidRPr="0039474D">
              <w:rPr>
                <w:rFonts w:ascii="Times New Roman" w:eastAsia="Times New Roman" w:hAnsi="Times New Roman" w:cs="Times New Roman"/>
                <w:color w:val="000000"/>
                <w:sz w:val="16"/>
                <w:szCs w:val="16"/>
                <w:lang w:eastAsia="pl-PL"/>
              </w:rPr>
              <w:t>, 15%)</w:t>
            </w:r>
          </w:p>
        </w:tc>
        <w:tc>
          <w:tcPr>
            <w:tcW w:w="714" w:type="dxa"/>
            <w:shd w:val="clear" w:color="auto" w:fill="D9D9D9" w:themeFill="background1" w:themeFillShade="D9"/>
            <w:vAlign w:val="center"/>
            <w:hideMark/>
          </w:tcPr>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WO</w:t>
            </w:r>
          </w:p>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IV kw. 2014</w:t>
            </w:r>
          </w:p>
        </w:tc>
        <w:tc>
          <w:tcPr>
            <w:tcW w:w="986" w:type="dxa"/>
            <w:shd w:val="clear" w:color="auto" w:fill="D9D9D9" w:themeFill="background1" w:themeFillShade="D9"/>
            <w:vAlign w:val="center"/>
            <w:hideMark/>
          </w:tcPr>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waloryzacja (aktualnie)</w:t>
            </w:r>
          </w:p>
        </w:tc>
        <w:tc>
          <w:tcPr>
            <w:tcW w:w="1001" w:type="dxa"/>
            <w:shd w:val="clear" w:color="auto" w:fill="D9D9D9" w:themeFill="background1" w:themeFillShade="D9"/>
            <w:vAlign w:val="center"/>
            <w:hideMark/>
          </w:tcPr>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zmiana</w:t>
            </w:r>
          </w:p>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2014</w:t>
            </w:r>
          </w:p>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(aktualnie)</w:t>
            </w:r>
          </w:p>
        </w:tc>
        <w:tc>
          <w:tcPr>
            <w:tcW w:w="1197" w:type="dxa"/>
            <w:shd w:val="clear" w:color="auto" w:fill="D9D9D9" w:themeFill="background1" w:themeFillShade="D9"/>
            <w:vAlign w:val="center"/>
            <w:hideMark/>
          </w:tcPr>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waloryzacja (projekt)</w:t>
            </w:r>
          </w:p>
        </w:tc>
        <w:tc>
          <w:tcPr>
            <w:tcW w:w="1001" w:type="dxa"/>
            <w:shd w:val="clear" w:color="auto" w:fill="D9D9D9" w:themeFill="background1" w:themeFillShade="D9"/>
            <w:vAlign w:val="center"/>
            <w:hideMark/>
          </w:tcPr>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zmiana</w:t>
            </w:r>
          </w:p>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2014</w:t>
            </w:r>
          </w:p>
          <w:p w:rsidR="004C5BCC" w:rsidRPr="0039474D" w:rsidRDefault="004C5BCC" w:rsidP="00AA1407">
            <w:pPr>
              <w:jc w:val="cente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(projekt)</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Wrocław</w:t>
            </w:r>
          </w:p>
        </w:tc>
        <w:tc>
          <w:tcPr>
            <w:tcW w:w="799"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4 431</w:t>
            </w:r>
          </w:p>
        </w:tc>
        <w:tc>
          <w:tcPr>
            <w:tcW w:w="880"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3 988</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29 909</w:t>
            </w:r>
          </w:p>
        </w:tc>
        <w:tc>
          <w:tcPr>
            <w:tcW w:w="714"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4 665</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34 988</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5 078</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30 393</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483</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Warszawa</w:t>
            </w:r>
          </w:p>
        </w:tc>
        <w:tc>
          <w:tcPr>
            <w:tcW w:w="799"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5 258</w:t>
            </w:r>
          </w:p>
        </w:tc>
        <w:tc>
          <w:tcPr>
            <w:tcW w:w="880"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4 732</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35 492</w:t>
            </w:r>
          </w:p>
        </w:tc>
        <w:tc>
          <w:tcPr>
            <w:tcW w:w="714"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6 087</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45 653</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10 161</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36 065</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574</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Poznań</w:t>
            </w:r>
          </w:p>
        </w:tc>
        <w:tc>
          <w:tcPr>
            <w:tcW w:w="799"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5 370</w:t>
            </w:r>
          </w:p>
        </w:tc>
        <w:tc>
          <w:tcPr>
            <w:tcW w:w="880"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4 833</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36 248</w:t>
            </w:r>
          </w:p>
        </w:tc>
        <w:tc>
          <w:tcPr>
            <w:tcW w:w="714"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5 386</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40 395</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4 148</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36 833</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586</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Szczecin</w:t>
            </w:r>
          </w:p>
        </w:tc>
        <w:tc>
          <w:tcPr>
            <w:tcW w:w="799"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4 090</w:t>
            </w:r>
          </w:p>
        </w:tc>
        <w:tc>
          <w:tcPr>
            <w:tcW w:w="880"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3 681</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27 608</w:t>
            </w:r>
          </w:p>
        </w:tc>
        <w:tc>
          <w:tcPr>
            <w:tcW w:w="714"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4 110</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30 825</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3 218</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28 054</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446</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Lublin</w:t>
            </w:r>
          </w:p>
        </w:tc>
        <w:tc>
          <w:tcPr>
            <w:tcW w:w="799"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3 835</w:t>
            </w:r>
          </w:p>
        </w:tc>
        <w:tc>
          <w:tcPr>
            <w:tcW w:w="880"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3 452</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25 886</w:t>
            </w:r>
          </w:p>
        </w:tc>
        <w:tc>
          <w:tcPr>
            <w:tcW w:w="714"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4 174</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31 305</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5 419</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26 305</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418</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Katowice</w:t>
            </w:r>
          </w:p>
        </w:tc>
        <w:tc>
          <w:tcPr>
            <w:tcW w:w="799"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4 275</w:t>
            </w:r>
          </w:p>
        </w:tc>
        <w:tc>
          <w:tcPr>
            <w:tcW w:w="880"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3 848</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28 856</w:t>
            </w:r>
          </w:p>
        </w:tc>
        <w:tc>
          <w:tcPr>
            <w:tcW w:w="714" w:type="dxa"/>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4 294</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32 205</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3 349</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29 323</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466</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dolnośląskie</w:t>
            </w:r>
          </w:p>
        </w:tc>
        <w:tc>
          <w:tcPr>
            <w:tcW w:w="799"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3 360</w:t>
            </w:r>
          </w:p>
        </w:tc>
        <w:tc>
          <w:tcPr>
            <w:tcW w:w="880"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3 024</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22 680</w:t>
            </w:r>
          </w:p>
        </w:tc>
        <w:tc>
          <w:tcPr>
            <w:tcW w:w="714"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3 720</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27 900</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5 220</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23 047</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367</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mazowieckie</w:t>
            </w:r>
          </w:p>
        </w:tc>
        <w:tc>
          <w:tcPr>
            <w:tcW w:w="799"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3 203</w:t>
            </w:r>
          </w:p>
        </w:tc>
        <w:tc>
          <w:tcPr>
            <w:tcW w:w="880"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2 883</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21 620</w:t>
            </w:r>
          </w:p>
        </w:tc>
        <w:tc>
          <w:tcPr>
            <w:tcW w:w="714"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3 414</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25 605</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3 985</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21 970</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349</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wielkopolskie</w:t>
            </w:r>
          </w:p>
        </w:tc>
        <w:tc>
          <w:tcPr>
            <w:tcW w:w="799"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3 810</w:t>
            </w:r>
          </w:p>
        </w:tc>
        <w:tc>
          <w:tcPr>
            <w:tcW w:w="880"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3 429</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25 718</w:t>
            </w:r>
          </w:p>
        </w:tc>
        <w:tc>
          <w:tcPr>
            <w:tcW w:w="714"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3 821</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28 658</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2 940</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26 133</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416</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zachodniopomorskie</w:t>
            </w:r>
          </w:p>
        </w:tc>
        <w:tc>
          <w:tcPr>
            <w:tcW w:w="799"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3 559</w:t>
            </w:r>
          </w:p>
        </w:tc>
        <w:tc>
          <w:tcPr>
            <w:tcW w:w="880"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3 203</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24 023</w:t>
            </w:r>
          </w:p>
        </w:tc>
        <w:tc>
          <w:tcPr>
            <w:tcW w:w="714"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3 559</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26 693</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2 669</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24 412</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388</w:t>
            </w:r>
          </w:p>
        </w:tc>
      </w:tr>
      <w:tr w:rsidR="004C5BCC" w:rsidRPr="0039474D" w:rsidTr="00AA1407">
        <w:trPr>
          <w:trHeight w:val="300"/>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lubelskie</w:t>
            </w:r>
          </w:p>
        </w:tc>
        <w:tc>
          <w:tcPr>
            <w:tcW w:w="799"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2 710</w:t>
            </w:r>
          </w:p>
        </w:tc>
        <w:tc>
          <w:tcPr>
            <w:tcW w:w="880"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2 439</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18 293</w:t>
            </w:r>
          </w:p>
        </w:tc>
        <w:tc>
          <w:tcPr>
            <w:tcW w:w="714"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3 953</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29 648</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11 355</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18 588</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296</w:t>
            </w:r>
          </w:p>
        </w:tc>
      </w:tr>
      <w:tr w:rsidR="004C5BCC" w:rsidRPr="0039474D" w:rsidTr="00AA1407">
        <w:trPr>
          <w:trHeight w:val="315"/>
        </w:trPr>
        <w:tc>
          <w:tcPr>
            <w:tcW w:w="1668" w:type="dxa"/>
            <w:shd w:val="clear" w:color="auto" w:fill="D9D9D9" w:themeFill="background1" w:themeFillShade="D9"/>
            <w:noWrap/>
            <w:hideMark/>
          </w:tcPr>
          <w:p w:rsidR="004C5BCC" w:rsidRPr="0039474D" w:rsidRDefault="004C5BCC" w:rsidP="00AA1407">
            <w:pPr>
              <w:rPr>
                <w:rFonts w:ascii="Times New Roman" w:eastAsia="Times New Roman" w:hAnsi="Times New Roman" w:cs="Times New Roman"/>
                <w:color w:val="000000"/>
                <w:sz w:val="16"/>
                <w:szCs w:val="16"/>
                <w:lang w:eastAsia="pl-PL"/>
              </w:rPr>
            </w:pPr>
            <w:r w:rsidRPr="0039474D">
              <w:rPr>
                <w:rFonts w:ascii="Times New Roman" w:eastAsia="Times New Roman" w:hAnsi="Times New Roman" w:cs="Times New Roman"/>
                <w:color w:val="000000"/>
                <w:sz w:val="16"/>
                <w:szCs w:val="16"/>
                <w:lang w:eastAsia="pl-PL"/>
              </w:rPr>
              <w:t>śląskie</w:t>
            </w:r>
          </w:p>
        </w:tc>
        <w:tc>
          <w:tcPr>
            <w:tcW w:w="799"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3 527</w:t>
            </w:r>
          </w:p>
        </w:tc>
        <w:tc>
          <w:tcPr>
            <w:tcW w:w="880"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3 174</w:t>
            </w:r>
          </w:p>
        </w:tc>
        <w:tc>
          <w:tcPr>
            <w:tcW w:w="1042"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23 807</w:t>
            </w:r>
          </w:p>
        </w:tc>
        <w:tc>
          <w:tcPr>
            <w:tcW w:w="714"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3 658</w:t>
            </w:r>
          </w:p>
        </w:tc>
        <w:tc>
          <w:tcPr>
            <w:tcW w:w="986"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27 435</w:t>
            </w:r>
          </w:p>
        </w:tc>
        <w:tc>
          <w:tcPr>
            <w:tcW w:w="1001" w:type="dxa"/>
            <w:shd w:val="clear" w:color="auto" w:fill="D9D9D9" w:themeFill="background1" w:themeFillShade="D9"/>
            <w:noWrap/>
            <w:vAlign w:val="center"/>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3 628</w:t>
            </w:r>
          </w:p>
        </w:tc>
        <w:tc>
          <w:tcPr>
            <w:tcW w:w="1197" w:type="dxa"/>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24 192</w:t>
            </w:r>
          </w:p>
        </w:tc>
        <w:tc>
          <w:tcPr>
            <w:tcW w:w="1001" w:type="dxa"/>
            <w:shd w:val="clear" w:color="auto" w:fill="D9D9D9" w:themeFill="background1" w:themeFillShade="D9"/>
            <w:noWrap/>
            <w:vAlign w:val="bottom"/>
            <w:hideMark/>
          </w:tcPr>
          <w:p w:rsidR="004C5BCC" w:rsidRPr="0039474D" w:rsidRDefault="004C5BCC" w:rsidP="00AA1407">
            <w:pPr>
              <w:jc w:val="center"/>
              <w:rPr>
                <w:rFonts w:ascii="Times New Roman" w:hAnsi="Times New Roman" w:cs="Times New Roman"/>
                <w:color w:val="000000"/>
                <w:sz w:val="16"/>
                <w:szCs w:val="16"/>
              </w:rPr>
            </w:pPr>
            <w:r w:rsidRPr="0039474D">
              <w:rPr>
                <w:rFonts w:ascii="Times New Roman" w:hAnsi="Times New Roman" w:cs="Times New Roman"/>
                <w:color w:val="000000"/>
                <w:sz w:val="16"/>
                <w:szCs w:val="16"/>
              </w:rPr>
              <w:t>385</w:t>
            </w:r>
          </w:p>
        </w:tc>
      </w:tr>
    </w:tbl>
    <w:p w:rsidR="00655511" w:rsidRDefault="00655511" w:rsidP="004C5BCC">
      <w:pPr>
        <w:spacing w:after="120" w:line="240" w:lineRule="auto"/>
        <w:jc w:val="both"/>
        <w:rPr>
          <w:rFonts w:eastAsia="Times New Roman" w:cs="Times New Roman"/>
          <w:i/>
          <w:lang w:eastAsia="pl-PL"/>
        </w:rPr>
      </w:pPr>
    </w:p>
    <w:p w:rsidR="00655511" w:rsidRDefault="00655511">
      <w:pPr>
        <w:rPr>
          <w:rFonts w:eastAsia="Times New Roman" w:cs="Times New Roman"/>
          <w:i/>
          <w:lang w:eastAsia="pl-PL"/>
        </w:rPr>
      </w:pPr>
      <w:r>
        <w:rPr>
          <w:rFonts w:eastAsia="Times New Roman" w:cs="Times New Roman"/>
          <w:i/>
          <w:lang w:eastAsia="pl-PL"/>
        </w:rPr>
        <w:br w:type="page"/>
      </w:r>
    </w:p>
    <w:p w:rsidR="004C5BCC" w:rsidRPr="0039474D" w:rsidRDefault="004C5BCC" w:rsidP="0039474D">
      <w:pPr>
        <w:spacing w:after="12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lastRenderedPageBreak/>
        <w:t xml:space="preserve">Przykład 3. Zawarcie umowy i wpłata partycypacji w I kw. 2007 r.; rozwiązanie umowy i opróżnienie lokalu w I kw. </w:t>
      </w:r>
      <w:r w:rsidR="000562B0" w:rsidRPr="0039474D">
        <w:rPr>
          <w:rFonts w:ascii="Times New Roman" w:eastAsia="Times New Roman" w:hAnsi="Times New Roman" w:cs="Times New Roman"/>
          <w:sz w:val="24"/>
          <w:szCs w:val="24"/>
          <w:lang w:eastAsia="pl-PL"/>
        </w:rPr>
        <w:t>2014 r</w:t>
      </w:r>
      <w:r w:rsidRPr="0039474D">
        <w:rPr>
          <w:rFonts w:ascii="Times New Roman" w:eastAsia="Times New Roman" w:hAnsi="Times New Roman" w:cs="Times New Roman"/>
          <w:sz w:val="24"/>
          <w:szCs w:val="24"/>
          <w:lang w:eastAsia="pl-PL"/>
        </w:rPr>
        <w:t>. (</w:t>
      </w:r>
      <w:proofErr w:type="spellStart"/>
      <w:r w:rsidRPr="0039474D">
        <w:rPr>
          <w:rFonts w:ascii="Times New Roman" w:eastAsia="Times New Roman" w:hAnsi="Times New Roman" w:cs="Times New Roman"/>
          <w:sz w:val="24"/>
          <w:szCs w:val="24"/>
          <w:lang w:eastAsia="pl-PL"/>
        </w:rPr>
        <w:t>C</w:t>
      </w:r>
      <w:r w:rsidRPr="0039474D">
        <w:rPr>
          <w:rFonts w:ascii="Times New Roman" w:eastAsia="Times New Roman" w:hAnsi="Times New Roman" w:cs="Times New Roman"/>
          <w:sz w:val="24"/>
          <w:szCs w:val="24"/>
          <w:vertAlign w:val="subscript"/>
          <w:lang w:eastAsia="pl-PL"/>
        </w:rPr>
        <w:t>w</w:t>
      </w:r>
      <w:proofErr w:type="spellEnd"/>
      <w:r w:rsidRPr="0039474D">
        <w:rPr>
          <w:rFonts w:ascii="Times New Roman" w:eastAsia="Times New Roman" w:hAnsi="Times New Roman" w:cs="Times New Roman"/>
          <w:sz w:val="24"/>
          <w:szCs w:val="24"/>
          <w:lang w:eastAsia="pl-PL"/>
        </w:rPr>
        <w:t xml:space="preserve"> = 2.576 zł; C</w:t>
      </w:r>
      <w:r w:rsidRPr="0039474D">
        <w:rPr>
          <w:rFonts w:ascii="Times New Roman" w:eastAsia="Times New Roman" w:hAnsi="Times New Roman" w:cs="Times New Roman"/>
          <w:sz w:val="24"/>
          <w:szCs w:val="24"/>
          <w:vertAlign w:val="subscript"/>
          <w:lang w:eastAsia="pl-PL"/>
        </w:rPr>
        <w:t>z</w:t>
      </w:r>
      <w:r w:rsidRPr="0039474D">
        <w:rPr>
          <w:rFonts w:ascii="Times New Roman" w:eastAsia="Times New Roman" w:hAnsi="Times New Roman" w:cs="Times New Roman"/>
          <w:sz w:val="24"/>
          <w:szCs w:val="24"/>
          <w:lang w:eastAsia="pl-PL"/>
        </w:rPr>
        <w:t xml:space="preserve"> = 4.053 zł; n = 6 lat) </w:t>
      </w:r>
    </w:p>
    <w:tbl>
      <w:tblPr>
        <w:tblStyle w:val="Tabela-Siatka"/>
        <w:tblW w:w="9288" w:type="dxa"/>
        <w:tblLook w:val="04A0" w:firstRow="1" w:lastRow="0" w:firstColumn="1" w:lastColumn="0" w:noHBand="0" w:noVBand="1"/>
      </w:tblPr>
      <w:tblGrid>
        <w:gridCol w:w="1666"/>
        <w:gridCol w:w="798"/>
        <w:gridCol w:w="880"/>
        <w:gridCol w:w="1042"/>
        <w:gridCol w:w="714"/>
        <w:gridCol w:w="989"/>
        <w:gridCol w:w="1001"/>
        <w:gridCol w:w="1197"/>
        <w:gridCol w:w="1001"/>
      </w:tblGrid>
      <w:tr w:rsidR="004C5BCC" w:rsidRPr="00EE7E8C" w:rsidTr="00AA1407">
        <w:trPr>
          <w:trHeight w:val="690"/>
        </w:trPr>
        <w:tc>
          <w:tcPr>
            <w:tcW w:w="1668" w:type="dxa"/>
            <w:shd w:val="clear" w:color="auto" w:fill="D9D9D9" w:themeFill="background1" w:themeFillShade="D9"/>
            <w:vAlign w:val="center"/>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p>
        </w:tc>
        <w:tc>
          <w:tcPr>
            <w:tcW w:w="799" w:type="dxa"/>
            <w:shd w:val="clear" w:color="auto" w:fill="D9D9D9" w:themeFill="background1" w:themeFillShade="D9"/>
            <w:vAlign w:val="center"/>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WO</w:t>
            </w:r>
          </w:p>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I kw. 2007</w:t>
            </w:r>
          </w:p>
        </w:tc>
        <w:tc>
          <w:tcPr>
            <w:tcW w:w="880" w:type="dxa"/>
            <w:shd w:val="clear" w:color="auto" w:fill="D9D9D9" w:themeFill="background1" w:themeFillShade="D9"/>
            <w:vAlign w:val="center"/>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koszt budowy (90% WO)</w:t>
            </w:r>
          </w:p>
        </w:tc>
        <w:tc>
          <w:tcPr>
            <w:tcW w:w="1042" w:type="dxa"/>
            <w:shd w:val="clear" w:color="auto" w:fill="D9D9D9" w:themeFill="background1" w:themeFillShade="D9"/>
            <w:vAlign w:val="center"/>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partycypacja (50m</w:t>
            </w:r>
            <w:r w:rsidRPr="00D15C66">
              <w:rPr>
                <w:rFonts w:ascii="Times New Roman" w:eastAsia="Times New Roman" w:hAnsi="Times New Roman" w:cs="Times New Roman"/>
                <w:color w:val="000000"/>
                <w:sz w:val="16"/>
                <w:szCs w:val="16"/>
                <w:vertAlign w:val="superscript"/>
                <w:lang w:eastAsia="pl-PL"/>
              </w:rPr>
              <w:t>2</w:t>
            </w:r>
            <w:r w:rsidRPr="00D15C66">
              <w:rPr>
                <w:rFonts w:ascii="Times New Roman" w:eastAsia="Times New Roman" w:hAnsi="Times New Roman" w:cs="Times New Roman"/>
                <w:color w:val="000000"/>
                <w:sz w:val="16"/>
                <w:szCs w:val="16"/>
                <w:lang w:eastAsia="pl-PL"/>
              </w:rPr>
              <w:t>, 15%)</w:t>
            </w:r>
          </w:p>
        </w:tc>
        <w:tc>
          <w:tcPr>
            <w:tcW w:w="714" w:type="dxa"/>
            <w:shd w:val="clear" w:color="auto" w:fill="D9D9D9" w:themeFill="background1" w:themeFillShade="D9"/>
            <w:vAlign w:val="center"/>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WO</w:t>
            </w:r>
          </w:p>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I kw. 2014</w:t>
            </w:r>
          </w:p>
        </w:tc>
        <w:tc>
          <w:tcPr>
            <w:tcW w:w="986" w:type="dxa"/>
            <w:shd w:val="clear" w:color="auto" w:fill="D9D9D9" w:themeFill="background1" w:themeFillShade="D9"/>
            <w:vAlign w:val="center"/>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waloryzacja (aktualnie)</w:t>
            </w:r>
          </w:p>
        </w:tc>
        <w:tc>
          <w:tcPr>
            <w:tcW w:w="1001" w:type="dxa"/>
            <w:shd w:val="clear" w:color="auto" w:fill="D9D9D9" w:themeFill="background1" w:themeFillShade="D9"/>
            <w:vAlign w:val="center"/>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zmiana 2014/2007</w:t>
            </w:r>
          </w:p>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(aktualnie)</w:t>
            </w:r>
          </w:p>
        </w:tc>
        <w:tc>
          <w:tcPr>
            <w:tcW w:w="1197" w:type="dxa"/>
            <w:shd w:val="clear" w:color="auto" w:fill="D9D9D9" w:themeFill="background1" w:themeFillShade="D9"/>
            <w:vAlign w:val="center"/>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waloryzacja (projekt)</w:t>
            </w:r>
          </w:p>
        </w:tc>
        <w:tc>
          <w:tcPr>
            <w:tcW w:w="1001" w:type="dxa"/>
            <w:shd w:val="clear" w:color="auto" w:fill="D9D9D9" w:themeFill="background1" w:themeFillShade="D9"/>
            <w:vAlign w:val="center"/>
            <w:hideMark/>
          </w:tcPr>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zmiana 2014/2007</w:t>
            </w:r>
          </w:p>
          <w:p w:rsidR="004C5BCC" w:rsidRPr="00D15C66" w:rsidRDefault="004C5BCC" w:rsidP="00AA1407">
            <w:pPr>
              <w:jc w:val="cente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(projekt)</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Wrocław</w:t>
            </w:r>
          </w:p>
        </w:tc>
        <w:tc>
          <w:tcPr>
            <w:tcW w:w="799"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2 682</w:t>
            </w:r>
          </w:p>
        </w:tc>
        <w:tc>
          <w:tcPr>
            <w:tcW w:w="880"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2 414</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18 104</w:t>
            </w:r>
          </w:p>
        </w:tc>
        <w:tc>
          <w:tcPr>
            <w:tcW w:w="714"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4 431</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33 233</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15 129</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27 200</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9 097</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Warszawa</w:t>
            </w:r>
          </w:p>
        </w:tc>
        <w:tc>
          <w:tcPr>
            <w:tcW w:w="799"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4 674</w:t>
            </w:r>
          </w:p>
        </w:tc>
        <w:tc>
          <w:tcPr>
            <w:tcW w:w="880"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4 207</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31 550</w:t>
            </w:r>
          </w:p>
        </w:tc>
        <w:tc>
          <w:tcPr>
            <w:tcW w:w="714"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5 258</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39 435</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7 886</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47 402</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15 853</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Poznań</w:t>
            </w:r>
          </w:p>
        </w:tc>
        <w:tc>
          <w:tcPr>
            <w:tcW w:w="799"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3 270</w:t>
            </w:r>
          </w:p>
        </w:tc>
        <w:tc>
          <w:tcPr>
            <w:tcW w:w="880"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2 943</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22 073</w:t>
            </w:r>
          </w:p>
        </w:tc>
        <w:tc>
          <w:tcPr>
            <w:tcW w:w="714"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5 370</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40 275</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18 203</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33 163</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11 091</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Szczecin</w:t>
            </w:r>
          </w:p>
        </w:tc>
        <w:tc>
          <w:tcPr>
            <w:tcW w:w="799"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2 750</w:t>
            </w:r>
          </w:p>
        </w:tc>
        <w:tc>
          <w:tcPr>
            <w:tcW w:w="880"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2 475</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18 563</w:t>
            </w:r>
          </w:p>
        </w:tc>
        <w:tc>
          <w:tcPr>
            <w:tcW w:w="714"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4 090</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30 675</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12 113</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27 890</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9 327</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Lublin</w:t>
            </w:r>
          </w:p>
        </w:tc>
        <w:tc>
          <w:tcPr>
            <w:tcW w:w="799"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2 378</w:t>
            </w:r>
          </w:p>
        </w:tc>
        <w:tc>
          <w:tcPr>
            <w:tcW w:w="880"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2 140</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16 052</w:t>
            </w:r>
          </w:p>
        </w:tc>
        <w:tc>
          <w:tcPr>
            <w:tcW w:w="714"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3 835</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28 763</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12 711</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24 117</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8 065</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Katowice</w:t>
            </w:r>
          </w:p>
        </w:tc>
        <w:tc>
          <w:tcPr>
            <w:tcW w:w="799"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2 915</w:t>
            </w:r>
          </w:p>
        </w:tc>
        <w:tc>
          <w:tcPr>
            <w:tcW w:w="880"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2 624</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19 676</w:t>
            </w:r>
          </w:p>
        </w:tc>
        <w:tc>
          <w:tcPr>
            <w:tcW w:w="714" w:type="dxa"/>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4 275</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32 063</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12 386</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29 563</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9 887</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dolnośląskie</w:t>
            </w:r>
          </w:p>
        </w:tc>
        <w:tc>
          <w:tcPr>
            <w:tcW w:w="799"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2 424</w:t>
            </w:r>
          </w:p>
        </w:tc>
        <w:tc>
          <w:tcPr>
            <w:tcW w:w="880"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2 182</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16 362</w:t>
            </w:r>
          </w:p>
        </w:tc>
        <w:tc>
          <w:tcPr>
            <w:tcW w:w="714"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3 360</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25 200</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8 838</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24 584</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8 222</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mazowieckie</w:t>
            </w:r>
          </w:p>
        </w:tc>
        <w:tc>
          <w:tcPr>
            <w:tcW w:w="799"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2 688</w:t>
            </w:r>
          </w:p>
        </w:tc>
        <w:tc>
          <w:tcPr>
            <w:tcW w:w="880"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2 419</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18 144</w:t>
            </w:r>
          </w:p>
        </w:tc>
        <w:tc>
          <w:tcPr>
            <w:tcW w:w="714"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3 203</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24 023</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5 879</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27 261</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9 117</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wielkopolskie</w:t>
            </w:r>
          </w:p>
        </w:tc>
        <w:tc>
          <w:tcPr>
            <w:tcW w:w="799"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2 250</w:t>
            </w:r>
          </w:p>
        </w:tc>
        <w:tc>
          <w:tcPr>
            <w:tcW w:w="880"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2 025</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15 188</w:t>
            </w:r>
          </w:p>
        </w:tc>
        <w:tc>
          <w:tcPr>
            <w:tcW w:w="714"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3 810</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28 575</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13 388</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22 819</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7 631</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zachodniopomorskie</w:t>
            </w:r>
          </w:p>
        </w:tc>
        <w:tc>
          <w:tcPr>
            <w:tcW w:w="799"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2 500</w:t>
            </w:r>
          </w:p>
        </w:tc>
        <w:tc>
          <w:tcPr>
            <w:tcW w:w="880"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2 250</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16 875</w:t>
            </w:r>
          </w:p>
        </w:tc>
        <w:tc>
          <w:tcPr>
            <w:tcW w:w="714"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3 559</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26 693</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9 818</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25 354</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8 479</w:t>
            </w:r>
          </w:p>
        </w:tc>
      </w:tr>
      <w:tr w:rsidR="004C5BCC" w:rsidRPr="00EE7E8C" w:rsidTr="00AA1407">
        <w:trPr>
          <w:trHeight w:val="300"/>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lubelskie</w:t>
            </w:r>
          </w:p>
        </w:tc>
        <w:tc>
          <w:tcPr>
            <w:tcW w:w="799"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2 072</w:t>
            </w:r>
          </w:p>
        </w:tc>
        <w:tc>
          <w:tcPr>
            <w:tcW w:w="880"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1 865</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13 986</w:t>
            </w:r>
          </w:p>
        </w:tc>
        <w:tc>
          <w:tcPr>
            <w:tcW w:w="714"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2 710</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20 325</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6 339</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21 014</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7 028</w:t>
            </w:r>
          </w:p>
        </w:tc>
      </w:tr>
      <w:tr w:rsidR="004C5BCC" w:rsidRPr="00EE7E8C" w:rsidTr="00AA1407">
        <w:trPr>
          <w:trHeight w:val="315"/>
        </w:trPr>
        <w:tc>
          <w:tcPr>
            <w:tcW w:w="1668" w:type="dxa"/>
            <w:shd w:val="clear" w:color="auto" w:fill="D9D9D9" w:themeFill="background1" w:themeFillShade="D9"/>
            <w:noWrap/>
            <w:hideMark/>
          </w:tcPr>
          <w:p w:rsidR="004C5BCC" w:rsidRPr="00D15C66" w:rsidRDefault="004C5BCC" w:rsidP="00AA1407">
            <w:pPr>
              <w:rPr>
                <w:rFonts w:ascii="Times New Roman" w:eastAsia="Times New Roman" w:hAnsi="Times New Roman" w:cs="Times New Roman"/>
                <w:color w:val="000000"/>
                <w:sz w:val="16"/>
                <w:szCs w:val="16"/>
                <w:lang w:eastAsia="pl-PL"/>
              </w:rPr>
            </w:pPr>
            <w:r w:rsidRPr="00D15C66">
              <w:rPr>
                <w:rFonts w:ascii="Times New Roman" w:eastAsia="Times New Roman" w:hAnsi="Times New Roman" w:cs="Times New Roman"/>
                <w:color w:val="000000"/>
                <w:sz w:val="16"/>
                <w:szCs w:val="16"/>
                <w:lang w:eastAsia="pl-PL"/>
              </w:rPr>
              <w:t>śląskie</w:t>
            </w:r>
          </w:p>
        </w:tc>
        <w:tc>
          <w:tcPr>
            <w:tcW w:w="799"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2 915</w:t>
            </w:r>
          </w:p>
        </w:tc>
        <w:tc>
          <w:tcPr>
            <w:tcW w:w="880"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2 624</w:t>
            </w:r>
          </w:p>
        </w:tc>
        <w:tc>
          <w:tcPr>
            <w:tcW w:w="1042"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19 676</w:t>
            </w:r>
          </w:p>
        </w:tc>
        <w:tc>
          <w:tcPr>
            <w:tcW w:w="714"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3 527</w:t>
            </w:r>
          </w:p>
        </w:tc>
        <w:tc>
          <w:tcPr>
            <w:tcW w:w="986"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26 453</w:t>
            </w:r>
          </w:p>
        </w:tc>
        <w:tc>
          <w:tcPr>
            <w:tcW w:w="1001" w:type="dxa"/>
            <w:shd w:val="clear" w:color="auto" w:fill="D9D9D9" w:themeFill="background1" w:themeFillShade="D9"/>
            <w:noWrap/>
            <w:vAlign w:val="center"/>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6 776</w:t>
            </w:r>
          </w:p>
        </w:tc>
        <w:tc>
          <w:tcPr>
            <w:tcW w:w="1197" w:type="dxa"/>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29 563</w:t>
            </w:r>
          </w:p>
        </w:tc>
        <w:tc>
          <w:tcPr>
            <w:tcW w:w="1001" w:type="dxa"/>
            <w:shd w:val="clear" w:color="auto" w:fill="D9D9D9" w:themeFill="background1" w:themeFillShade="D9"/>
            <w:noWrap/>
            <w:vAlign w:val="bottom"/>
            <w:hideMark/>
          </w:tcPr>
          <w:p w:rsidR="004C5BCC" w:rsidRPr="00D15C66" w:rsidRDefault="004C5BCC" w:rsidP="00AA1407">
            <w:pPr>
              <w:jc w:val="center"/>
              <w:rPr>
                <w:rFonts w:ascii="Times New Roman" w:hAnsi="Times New Roman" w:cs="Times New Roman"/>
                <w:color w:val="000000"/>
                <w:sz w:val="16"/>
                <w:szCs w:val="16"/>
              </w:rPr>
            </w:pPr>
            <w:r w:rsidRPr="00D15C66">
              <w:rPr>
                <w:rFonts w:ascii="Times New Roman" w:hAnsi="Times New Roman" w:cs="Times New Roman"/>
                <w:color w:val="000000"/>
                <w:sz w:val="16"/>
                <w:szCs w:val="16"/>
              </w:rPr>
              <w:t>9 887</w:t>
            </w:r>
          </w:p>
        </w:tc>
      </w:tr>
    </w:tbl>
    <w:p w:rsidR="004C5BCC" w:rsidRPr="0039474D" w:rsidRDefault="004C5BCC" w:rsidP="004C5BCC">
      <w:pPr>
        <w:spacing w:after="120" w:line="240" w:lineRule="auto"/>
        <w:jc w:val="both"/>
        <w:rPr>
          <w:rFonts w:ascii="Times New Roman" w:eastAsia="Times New Roman" w:hAnsi="Times New Roman" w:cs="Times New Roman"/>
          <w:sz w:val="20"/>
          <w:szCs w:val="20"/>
          <w:lang w:eastAsia="pl-PL"/>
        </w:rPr>
      </w:pPr>
      <w:r w:rsidRPr="0039474D">
        <w:rPr>
          <w:rFonts w:ascii="Times New Roman" w:eastAsia="Times New Roman" w:hAnsi="Times New Roman" w:cs="Times New Roman"/>
          <w:sz w:val="20"/>
          <w:szCs w:val="20"/>
          <w:lang w:eastAsia="pl-PL"/>
        </w:rPr>
        <w:t>Źródło: na podstawie danych GUS</w:t>
      </w:r>
    </w:p>
    <w:p w:rsidR="004C5BCC" w:rsidRPr="0039474D" w:rsidRDefault="004C5BCC" w:rsidP="00655511">
      <w:pPr>
        <w:spacing w:before="24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Zmiany proponowane w</w:t>
      </w:r>
      <w:r w:rsidRPr="0039474D">
        <w:rPr>
          <w:rFonts w:ascii="Times New Roman" w:eastAsia="Times New Roman" w:hAnsi="Times New Roman" w:cs="Times New Roman"/>
          <w:b/>
          <w:sz w:val="24"/>
          <w:szCs w:val="24"/>
          <w:lang w:eastAsia="pl-PL"/>
        </w:rPr>
        <w:t xml:space="preserve"> art. 30 </w:t>
      </w:r>
      <w:r w:rsidRPr="0039474D">
        <w:rPr>
          <w:rFonts w:ascii="Times New Roman" w:eastAsia="Times New Roman" w:hAnsi="Times New Roman" w:cs="Times New Roman"/>
          <w:sz w:val="24"/>
          <w:szCs w:val="24"/>
          <w:lang w:eastAsia="pl-PL"/>
        </w:rPr>
        <w:t>ustawy dotyczą korekty dotychczasowego zakresu adresowania społecznych mieszkań czynszowych wybudowanych w ramach rządowego programu</w:t>
      </w:r>
      <w:r w:rsidRPr="0039474D">
        <w:rPr>
          <w:rFonts w:ascii="Times New Roman" w:eastAsia="Times New Roman" w:hAnsi="Times New Roman" w:cs="Times New Roman"/>
          <w:sz w:val="24"/>
          <w:szCs w:val="24"/>
          <w:vertAlign w:val="superscript"/>
          <w:lang w:eastAsia="pl-PL"/>
        </w:rPr>
        <w:footnoteReference w:id="10"/>
      </w:r>
      <w:r w:rsidR="00EE7E8C">
        <w:rPr>
          <w:rFonts w:ascii="Times New Roman" w:eastAsia="Times New Roman" w:hAnsi="Times New Roman" w:cs="Times New Roman"/>
          <w:sz w:val="24"/>
          <w:szCs w:val="24"/>
          <w:vertAlign w:val="superscript"/>
          <w:lang w:eastAsia="pl-PL"/>
        </w:rPr>
        <w:t>)</w:t>
      </w:r>
      <w:r w:rsidRPr="0039474D">
        <w:rPr>
          <w:rFonts w:ascii="Times New Roman" w:eastAsia="Times New Roman" w:hAnsi="Times New Roman" w:cs="Times New Roman"/>
          <w:sz w:val="24"/>
          <w:szCs w:val="24"/>
          <w:lang w:eastAsia="pl-PL"/>
        </w:rPr>
        <w:t>. Z uwagi na fakt, że proponowane w tym zakresie rozwiązania dotyczą jednego z podstawowych zagadnień związanych z projektowanym programem wsparcia, proponowanym rozwiązaniom poświęcono bardziej obszerną część uzasadnienia projektu.</w:t>
      </w:r>
    </w:p>
    <w:p w:rsidR="004C5BCC" w:rsidRPr="0039474D" w:rsidRDefault="004C5BCC"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W bieżącym stanie prawnym, zgodnie z art. 30 ust. 1 pkt 2 ustawy, TBS może wynająć lokal mieszkalny wyłącznie osobie fizycznej, jeżeli dochód gospodarstwa domowego nie przekracza odpowiednich limitów, ustalonych w oparciu o przeciętne miesięczne wynagrodzenie w danym województwie, zgodnie z okresową informacją Prezesa GUS. Poza uwzględnieniem zróżnicowań regionalnych formuła wyznaczająca maksymalny poziom dochodów, które uprawniają obecnie do zawarcia z najemcą umowy najmu i opłacania przez najemcę czynszu na poziomie do 4% wartości odtworzeniowej lokalu, różnicuje wysokość tego limitu</w:t>
      </w:r>
      <w:r w:rsidR="00EE7E8C">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biorąc pod uwagę również wielkość gospodarstwa domowego. Zgodnie z art. 30 ust. 1 pkt 2, w dniu zawarcia umowy najmu dochód gospodarstwa domowego najemcy nie może przekraczać 1,3 przeciętnego miesięcznego wynagrodzenia w danym województwie </w:t>
      </w:r>
      <w:r w:rsidRPr="0039474D">
        <w:rPr>
          <w:rFonts w:ascii="Times New Roman" w:eastAsia="Times New Roman" w:hAnsi="Times New Roman" w:cs="Times New Roman"/>
          <w:sz w:val="24"/>
          <w:szCs w:val="24"/>
          <w:lang w:eastAsia="pl-PL"/>
        </w:rPr>
        <w:lastRenderedPageBreak/>
        <w:t>ogłoszonego przed dniem zawarcia umowy najmu, o więcej niż 20% w jednoosobowym gospodarstwie domowym, 80% w dwuosobowym gospodarstwie domowym oraz dalsze 40% na każdą dodatkową osobę w przypadku</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 xml:space="preserve">gospodarstw o większej liczbie osób. </w:t>
      </w:r>
    </w:p>
    <w:p w:rsidR="004C5BCC" w:rsidRPr="0039474D" w:rsidRDefault="004C5BCC"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Z uwagi na zakładane cele społecznego budownictw</w:t>
      </w:r>
      <w:r w:rsidR="008D10D8">
        <w:rPr>
          <w:rFonts w:ascii="Times New Roman" w:eastAsia="Times New Roman" w:hAnsi="Times New Roman" w:cs="Times New Roman"/>
          <w:sz w:val="24"/>
          <w:szCs w:val="24"/>
          <w:lang w:eastAsia="pl-PL"/>
        </w:rPr>
        <w:t>a czynszowego, w art. 30 ust. 4–</w:t>
      </w:r>
      <w:r w:rsidRPr="0039474D">
        <w:rPr>
          <w:rFonts w:ascii="Times New Roman" w:eastAsia="Times New Roman" w:hAnsi="Times New Roman" w:cs="Times New Roman"/>
          <w:sz w:val="24"/>
          <w:szCs w:val="24"/>
          <w:lang w:eastAsia="pl-PL"/>
        </w:rPr>
        <w:t xml:space="preserve">6 na </w:t>
      </w:r>
      <w:r w:rsidR="00D06F6F" w:rsidRPr="0039474D">
        <w:rPr>
          <w:rFonts w:ascii="Times New Roman" w:eastAsia="Times New Roman" w:hAnsi="Times New Roman" w:cs="Times New Roman"/>
          <w:sz w:val="24"/>
          <w:szCs w:val="24"/>
          <w:lang w:eastAsia="pl-PL"/>
        </w:rPr>
        <w:t>TBS-ach</w:t>
      </w:r>
      <w:r w:rsidRPr="0039474D">
        <w:rPr>
          <w:rFonts w:ascii="Times New Roman" w:eastAsia="Times New Roman" w:hAnsi="Times New Roman" w:cs="Times New Roman"/>
          <w:sz w:val="24"/>
          <w:szCs w:val="24"/>
          <w:lang w:eastAsia="pl-PL"/>
        </w:rPr>
        <w:t xml:space="preserve"> ciąży obecnie obowiązek weryfikacji oświadczeń majątkowych najemców na etapie użytkowania mieszkania</w:t>
      </w:r>
      <w:r w:rsidRPr="0039474D">
        <w:rPr>
          <w:rFonts w:ascii="Times New Roman" w:eastAsia="Times New Roman" w:hAnsi="Times New Roman" w:cs="Times New Roman"/>
          <w:sz w:val="24"/>
          <w:szCs w:val="24"/>
          <w:vertAlign w:val="superscript"/>
          <w:lang w:eastAsia="pl-PL"/>
        </w:rPr>
        <w:footnoteReference w:id="11"/>
      </w:r>
      <w:r w:rsidR="00790732">
        <w:rPr>
          <w:rFonts w:ascii="Times New Roman" w:eastAsia="Times New Roman" w:hAnsi="Times New Roman" w:cs="Times New Roman"/>
          <w:sz w:val="24"/>
          <w:szCs w:val="24"/>
          <w:vertAlign w:val="superscript"/>
          <w:lang w:eastAsia="pl-PL"/>
        </w:rPr>
        <w:t>)</w:t>
      </w:r>
      <w:r w:rsidRPr="0039474D">
        <w:rPr>
          <w:rFonts w:ascii="Times New Roman" w:eastAsia="Times New Roman" w:hAnsi="Times New Roman" w:cs="Times New Roman"/>
          <w:sz w:val="24"/>
          <w:szCs w:val="24"/>
          <w:lang w:eastAsia="pl-PL"/>
        </w:rPr>
        <w:t>. Ewentualne sankcje za przekroczenie przez najemcę ustawowych limitów dochodowych są jednak obecnie fakultatywne – zgodnie z art. 30 ust. 5 ustawy</w:t>
      </w:r>
      <w:r w:rsidR="00795EAD">
        <w:rPr>
          <w:rFonts w:ascii="Times New Roman" w:eastAsia="Times New Roman" w:hAnsi="Times New Roman" w:cs="Times New Roman"/>
          <w:sz w:val="24"/>
          <w:szCs w:val="24"/>
          <w:lang w:eastAsia="pl-PL"/>
        </w:rPr>
        <w:t>,</w:t>
      </w:r>
      <w:r w:rsidRPr="0039474D">
        <w:rPr>
          <w:rFonts w:ascii="Times New Roman" w:eastAsia="Times New Roman" w:hAnsi="Times New Roman" w:cs="Times New Roman"/>
          <w:sz w:val="24"/>
          <w:szCs w:val="24"/>
          <w:lang w:eastAsia="pl-PL"/>
        </w:rPr>
        <w:t xml:space="preserve"> w przypadku</w:t>
      </w:r>
      <w:r w:rsidR="00F749A5">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gdy najemca nie złoży deklaracji o dochodach w terminie przewidzianym ustawowo lub wykaże w deklaracji dochody przekraczające limit ustawowy, TBS może wypowiedzieć umowę najmu w części dotyczącej preferencyjnego czynszu. Brak obligatoryjnych konsekwencji ustawowych powoduje, że sankcje w tej formie były dotychczas stosunkowo rzadko stosowane,</w:t>
      </w:r>
      <w:r w:rsidR="00F76354" w:rsidRPr="0039474D">
        <w:rPr>
          <w:rFonts w:ascii="Times New Roman" w:eastAsia="Times New Roman" w:hAnsi="Times New Roman" w:cs="Times New Roman"/>
          <w:sz w:val="24"/>
          <w:szCs w:val="24"/>
          <w:lang w:eastAsia="pl-PL"/>
        </w:rPr>
        <w:t xml:space="preserve"> </w:t>
      </w:r>
      <w:r w:rsidRPr="0039474D">
        <w:rPr>
          <w:rFonts w:ascii="Times New Roman" w:eastAsia="Times New Roman" w:hAnsi="Times New Roman" w:cs="Times New Roman"/>
          <w:sz w:val="24"/>
          <w:szCs w:val="24"/>
          <w:lang w:eastAsia="pl-PL"/>
        </w:rPr>
        <w:t>co potwierdził audyt Banku Światowego dotyczący programu realizowanego ze środków KFM, przeprowadzony w 2009 r. na zlecenie ówczesnego Ministerstwa Infrastruktury</w:t>
      </w:r>
      <w:r w:rsidRPr="0039474D">
        <w:rPr>
          <w:rFonts w:ascii="Times New Roman" w:eastAsia="Times New Roman" w:hAnsi="Times New Roman" w:cs="Times New Roman"/>
          <w:sz w:val="24"/>
          <w:szCs w:val="24"/>
          <w:vertAlign w:val="superscript"/>
          <w:lang w:eastAsia="pl-PL"/>
        </w:rPr>
        <w:footnoteReference w:id="12"/>
      </w:r>
      <w:r w:rsidR="00795EAD">
        <w:rPr>
          <w:rFonts w:ascii="Times New Roman" w:eastAsia="Times New Roman" w:hAnsi="Times New Roman" w:cs="Times New Roman"/>
          <w:sz w:val="24"/>
          <w:szCs w:val="24"/>
          <w:vertAlign w:val="superscript"/>
          <w:lang w:eastAsia="pl-PL"/>
        </w:rPr>
        <w:t>)</w:t>
      </w:r>
      <w:r w:rsidRPr="0039474D">
        <w:rPr>
          <w:rFonts w:ascii="Times New Roman" w:eastAsia="Times New Roman" w:hAnsi="Times New Roman" w:cs="Times New Roman"/>
          <w:sz w:val="24"/>
          <w:szCs w:val="24"/>
          <w:lang w:eastAsia="pl-PL"/>
        </w:rPr>
        <w:t xml:space="preserve">. </w:t>
      </w:r>
    </w:p>
    <w:p w:rsidR="001B2A2D" w:rsidRPr="0039474D" w:rsidRDefault="004C5BCC"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Podsumowując ogólne omówienie rozwiązań, jakie obecnie przewiduje art. 30, informacje o aktualnym poziomie maksymalnych dochodów gospodarstwa domowego najemcy lokali mieszkalnych w zasobach </w:t>
      </w:r>
      <w:r w:rsidR="00480349" w:rsidRPr="0039474D">
        <w:rPr>
          <w:rFonts w:ascii="Times New Roman" w:eastAsia="Times New Roman" w:hAnsi="Times New Roman" w:cs="Times New Roman"/>
          <w:sz w:val="24"/>
          <w:szCs w:val="24"/>
          <w:lang w:eastAsia="pl-PL"/>
        </w:rPr>
        <w:t>TBS-ów</w:t>
      </w:r>
      <w:r w:rsidRPr="0039474D">
        <w:rPr>
          <w:rFonts w:ascii="Times New Roman" w:eastAsia="Times New Roman" w:hAnsi="Times New Roman" w:cs="Times New Roman"/>
          <w:sz w:val="24"/>
          <w:szCs w:val="24"/>
          <w:lang w:eastAsia="pl-PL"/>
        </w:rPr>
        <w:t xml:space="preserve"> przedstawia poniższe zestawienie. </w:t>
      </w:r>
    </w:p>
    <w:p w:rsidR="004C5BCC" w:rsidRPr="0039474D" w:rsidRDefault="004C5BCC" w:rsidP="0039474D">
      <w:pPr>
        <w:spacing w:before="120" w:after="0" w:line="360" w:lineRule="auto"/>
        <w:jc w:val="both"/>
        <w:rPr>
          <w:rFonts w:ascii="Times New Roman" w:eastAsia="Times New Roman" w:hAnsi="Times New Roman" w:cs="Times New Roman"/>
          <w:sz w:val="24"/>
          <w:szCs w:val="24"/>
          <w:lang w:eastAsia="pl-PL"/>
        </w:rPr>
      </w:pPr>
      <w:r w:rsidRPr="0039474D">
        <w:rPr>
          <w:rFonts w:ascii="Times New Roman" w:eastAsia="Times New Roman" w:hAnsi="Times New Roman" w:cs="Times New Roman"/>
          <w:sz w:val="24"/>
          <w:szCs w:val="24"/>
          <w:lang w:eastAsia="pl-PL"/>
        </w:rPr>
        <w:t xml:space="preserve">Aktualna maksymalna wysokość dochodów gospodarstwa domowego najemcy lokalu w zasobach </w:t>
      </w:r>
      <w:r w:rsidR="00D06F6F" w:rsidRPr="0039474D">
        <w:rPr>
          <w:rFonts w:ascii="Times New Roman" w:eastAsia="Times New Roman" w:hAnsi="Times New Roman" w:cs="Times New Roman"/>
          <w:sz w:val="24"/>
          <w:szCs w:val="24"/>
          <w:lang w:eastAsia="pl-PL"/>
        </w:rPr>
        <w:t>TB</w:t>
      </w:r>
      <w:r w:rsidR="00480349" w:rsidRPr="0039474D">
        <w:rPr>
          <w:rFonts w:ascii="Times New Roman" w:eastAsia="Times New Roman" w:hAnsi="Times New Roman" w:cs="Times New Roman"/>
          <w:sz w:val="24"/>
          <w:szCs w:val="24"/>
          <w:lang w:eastAsia="pl-PL"/>
        </w:rPr>
        <w:t>S</w:t>
      </w:r>
      <w:r w:rsidR="00D06F6F" w:rsidRPr="0039474D">
        <w:rPr>
          <w:rFonts w:ascii="Times New Roman" w:eastAsia="Times New Roman" w:hAnsi="Times New Roman" w:cs="Times New Roman"/>
          <w:sz w:val="24"/>
          <w:szCs w:val="24"/>
          <w:lang w:eastAsia="pl-PL"/>
        </w:rPr>
        <w:t>-ów</w:t>
      </w:r>
      <w:r w:rsidRPr="0039474D">
        <w:rPr>
          <w:rFonts w:ascii="Times New Roman" w:eastAsia="Times New Roman" w:hAnsi="Times New Roman" w:cs="Times New Roman"/>
          <w:sz w:val="24"/>
          <w:szCs w:val="24"/>
          <w:lang w:eastAsia="pl-PL"/>
        </w:rPr>
        <w:t>, wg wysokości wskaźnika ogłoszonego przez Prezesa GUS na I kw. 2014</w:t>
      </w:r>
      <w:r w:rsidR="00655511">
        <w:rPr>
          <w:rFonts w:ascii="Times New Roman" w:eastAsia="Times New Roman" w:hAnsi="Times New Roman" w:cs="Times New Roman"/>
          <w:sz w:val="24"/>
          <w:szCs w:val="24"/>
          <w:lang w:eastAsia="pl-PL"/>
        </w:rPr>
        <w:t> </w:t>
      </w:r>
      <w:r w:rsidRPr="0039474D">
        <w:rPr>
          <w:rFonts w:ascii="Times New Roman" w:eastAsia="Times New Roman" w:hAnsi="Times New Roman" w:cs="Times New Roman"/>
          <w:sz w:val="24"/>
          <w:szCs w:val="24"/>
          <w:lang w:eastAsia="pl-PL"/>
        </w:rPr>
        <w:t xml:space="preserve">r. (w PLN po zaokrągleniu)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5"/>
        <w:gridCol w:w="2019"/>
        <w:gridCol w:w="992"/>
        <w:gridCol w:w="992"/>
        <w:gridCol w:w="992"/>
        <w:gridCol w:w="994"/>
        <w:gridCol w:w="1384"/>
      </w:tblGrid>
      <w:tr w:rsidR="004C5BCC" w:rsidRPr="00F749A5" w:rsidTr="001B2A2D">
        <w:trPr>
          <w:jc w:val="center"/>
        </w:trPr>
        <w:tc>
          <w:tcPr>
            <w:tcW w:w="1031" w:type="pct"/>
            <w:vMerge w:val="restart"/>
            <w:shd w:val="clear" w:color="auto" w:fill="D9D9D9" w:themeFill="background1" w:themeFillShade="D9"/>
          </w:tcPr>
          <w:p w:rsidR="004C5BCC" w:rsidRPr="00F749A5" w:rsidRDefault="004C5BCC" w:rsidP="00382548">
            <w:pPr>
              <w:spacing w:after="0" w:line="240" w:lineRule="auto"/>
              <w:jc w:val="both"/>
              <w:rPr>
                <w:rFonts w:ascii="Times New Roman" w:eastAsia="Times New Roman" w:hAnsi="Times New Roman" w:cs="Times New Roman"/>
                <w:sz w:val="16"/>
                <w:szCs w:val="16"/>
                <w:lang w:eastAsia="pl-PL"/>
              </w:rPr>
            </w:pPr>
          </w:p>
          <w:p w:rsidR="004C5BCC" w:rsidRPr="00F749A5" w:rsidRDefault="004C5BCC" w:rsidP="00382548">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Województwo</w:t>
            </w:r>
          </w:p>
        </w:tc>
        <w:tc>
          <w:tcPr>
            <w:tcW w:w="1087" w:type="pct"/>
            <w:vMerge w:val="restar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 xml:space="preserve">Przeciętne miesięczne wynagrodzenie – </w:t>
            </w:r>
          </w:p>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GUS na podstawie art. 30 ust. 2 UNFP</w:t>
            </w:r>
          </w:p>
        </w:tc>
        <w:tc>
          <w:tcPr>
            <w:tcW w:w="2881" w:type="pct"/>
            <w:gridSpan w:val="5"/>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Maksymalny dochód gospodarstwa domowego, stosownie do liczby osób w gospodarstwie domowym najemcy</w:t>
            </w:r>
          </w:p>
        </w:tc>
      </w:tr>
      <w:tr w:rsidR="004C5BCC" w:rsidRPr="00F749A5" w:rsidTr="001B2A2D">
        <w:trPr>
          <w:trHeight w:val="342"/>
          <w:jc w:val="center"/>
        </w:trPr>
        <w:tc>
          <w:tcPr>
            <w:tcW w:w="1031" w:type="pct"/>
            <w:vMerge/>
            <w:shd w:val="clear" w:color="auto" w:fill="D9D9D9" w:themeFill="background1" w:themeFillShade="D9"/>
          </w:tcPr>
          <w:p w:rsidR="004C5BCC" w:rsidRPr="00F749A5" w:rsidRDefault="004C5BCC" w:rsidP="00382548">
            <w:pPr>
              <w:spacing w:after="0" w:line="240" w:lineRule="auto"/>
              <w:jc w:val="both"/>
              <w:rPr>
                <w:rFonts w:ascii="Times New Roman" w:eastAsia="Times New Roman" w:hAnsi="Times New Roman" w:cs="Times New Roman"/>
                <w:sz w:val="16"/>
                <w:szCs w:val="16"/>
                <w:lang w:eastAsia="pl-PL"/>
              </w:rPr>
            </w:pPr>
          </w:p>
        </w:tc>
        <w:tc>
          <w:tcPr>
            <w:tcW w:w="1087" w:type="pct"/>
            <w:vMerge/>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p>
        </w:tc>
        <w:tc>
          <w:tcPr>
            <w:tcW w:w="534" w:type="pct"/>
            <w:shd w:val="clear" w:color="auto" w:fill="D9D9D9" w:themeFill="background1" w:themeFillShade="D9"/>
            <w:vAlign w:val="center"/>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1 os.</w:t>
            </w:r>
          </w:p>
        </w:tc>
        <w:tc>
          <w:tcPr>
            <w:tcW w:w="534" w:type="pct"/>
            <w:shd w:val="clear" w:color="auto" w:fill="D9D9D9" w:themeFill="background1" w:themeFillShade="D9"/>
            <w:vAlign w:val="center"/>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2 os</w:t>
            </w:r>
          </w:p>
        </w:tc>
        <w:tc>
          <w:tcPr>
            <w:tcW w:w="534" w:type="pct"/>
            <w:shd w:val="clear" w:color="auto" w:fill="D9D9D9" w:themeFill="background1" w:themeFillShade="D9"/>
            <w:vAlign w:val="center"/>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3 os.</w:t>
            </w:r>
          </w:p>
        </w:tc>
        <w:tc>
          <w:tcPr>
            <w:tcW w:w="535" w:type="pct"/>
            <w:shd w:val="clear" w:color="auto" w:fill="D9D9D9" w:themeFill="background1" w:themeFillShade="D9"/>
            <w:vAlign w:val="center"/>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4 os.</w:t>
            </w:r>
          </w:p>
        </w:tc>
        <w:tc>
          <w:tcPr>
            <w:tcW w:w="745" w:type="pct"/>
            <w:shd w:val="clear" w:color="auto" w:fill="D9D9D9" w:themeFill="background1" w:themeFillShade="D9"/>
            <w:vAlign w:val="center"/>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wzrost na każdą kolej</w:t>
            </w:r>
            <w:r w:rsidR="00795EAD">
              <w:rPr>
                <w:rFonts w:ascii="Times New Roman" w:eastAsia="Times New Roman" w:hAnsi="Times New Roman" w:cs="Times New Roman"/>
                <w:sz w:val="16"/>
                <w:szCs w:val="16"/>
                <w:lang w:eastAsia="pl-PL"/>
              </w:rPr>
              <w:t>n</w:t>
            </w:r>
            <w:r w:rsidRPr="00F749A5">
              <w:rPr>
                <w:rFonts w:ascii="Times New Roman" w:eastAsia="Times New Roman" w:hAnsi="Times New Roman" w:cs="Times New Roman"/>
                <w:sz w:val="16"/>
                <w:szCs w:val="16"/>
                <w:lang w:eastAsia="pl-PL"/>
              </w:rPr>
              <w:t>ą osobę</w:t>
            </w:r>
          </w:p>
        </w:tc>
      </w:tr>
      <w:tr w:rsidR="004C5BCC" w:rsidRPr="00F749A5" w:rsidTr="001B2A2D">
        <w:trPr>
          <w:trHeight w:val="108"/>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dolnośląskie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3 898</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6 081</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9 121</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11 148</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13 581</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2 027</w:t>
            </w:r>
          </w:p>
        </w:tc>
      </w:tr>
      <w:tr w:rsidR="004C5BCC" w:rsidRPr="00F749A5" w:rsidTr="001B2A2D">
        <w:trPr>
          <w:trHeight w:val="164"/>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kujawsko-pomorskie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3 353</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5 231</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7 846</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9 590</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11 682</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1 744</w:t>
            </w:r>
          </w:p>
        </w:tc>
      </w:tr>
      <w:tr w:rsidR="004C5BCC" w:rsidRPr="00F749A5" w:rsidTr="001B2A2D">
        <w:trPr>
          <w:trHeight w:val="70"/>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lubelskie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3 515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5 483</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8 225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10 053</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12 246</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1 828</w:t>
            </w:r>
          </w:p>
        </w:tc>
      </w:tr>
      <w:tr w:rsidR="004C5BCC" w:rsidRPr="00F749A5" w:rsidTr="001B2A2D">
        <w:trPr>
          <w:trHeight w:val="118"/>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lubuskie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3 335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5 203</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7 804</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9 538</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11 619</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1 734</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łódzkie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3 592</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5 604</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8 405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10 273</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12 515</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1 868</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małopolskie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3 690</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5 756</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8 635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10 553</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12 856</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1 919</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mazowieckie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4 981</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7 770</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11 656</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14 246</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17 354</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2 590</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opolskie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3 545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5 530</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8 295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10 139</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12 351</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1 843</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podkarpackie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3 344</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5 217</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7 825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9 564</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11 650</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1 739</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podlaskie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3 414</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5 326</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7 989</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9 764</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11 894</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1 775</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pomorskie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3 968</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6 190</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9 285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11 348</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13 825</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2 063</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śląskie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4 039</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6 301</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9 451</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11 552</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14 072</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2 100</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lastRenderedPageBreak/>
              <w:t>świętokrzyskie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3 378</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5 270</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7 905</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9 661</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11 769</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1 757</w:t>
            </w:r>
          </w:p>
        </w:tc>
      </w:tr>
      <w:tr w:rsidR="004C5BCC" w:rsidRPr="00F749A5" w:rsidTr="001B2A2D">
        <w:trPr>
          <w:trHeight w:val="201"/>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warmińsko-mazurskie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3 312</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5 167</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7 750</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9 472</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11 539</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1 722</w:t>
            </w:r>
          </w:p>
        </w:tc>
      </w:tr>
      <w:tr w:rsidR="004C5BCC" w:rsidRPr="00F749A5" w:rsidTr="001B2A2D">
        <w:trPr>
          <w:trHeight w:val="248"/>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wielkopolskie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3 577</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5 580</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8 370</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10 230</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12 462</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1 860</w:t>
            </w:r>
          </w:p>
        </w:tc>
      </w:tr>
      <w:tr w:rsidR="004C5BCC" w:rsidRPr="00F749A5" w:rsidTr="001B2A2D">
        <w:trPr>
          <w:jc w:val="center"/>
        </w:trPr>
        <w:tc>
          <w:tcPr>
            <w:tcW w:w="1031" w:type="pct"/>
            <w:shd w:val="clear" w:color="auto" w:fill="D9D9D9" w:themeFill="background1" w:themeFillShade="D9"/>
          </w:tcPr>
          <w:p w:rsidR="004C5BCC" w:rsidRPr="00F749A5" w:rsidRDefault="004C5BCC" w:rsidP="00382548">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zachodniopomorskie</w:t>
            </w:r>
          </w:p>
        </w:tc>
        <w:tc>
          <w:tcPr>
            <w:tcW w:w="1087"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3 589</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5 599</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8 398</w:t>
            </w:r>
          </w:p>
        </w:tc>
        <w:tc>
          <w:tcPr>
            <w:tcW w:w="534"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10 265</w:t>
            </w:r>
          </w:p>
        </w:tc>
        <w:tc>
          <w:tcPr>
            <w:tcW w:w="53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12 504</w:t>
            </w:r>
          </w:p>
        </w:tc>
        <w:tc>
          <w:tcPr>
            <w:tcW w:w="745" w:type="pct"/>
          </w:tcPr>
          <w:p w:rsidR="004C5BCC" w:rsidRPr="00F749A5" w:rsidRDefault="004C5BCC" w:rsidP="00382548">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1 866</w:t>
            </w:r>
          </w:p>
        </w:tc>
      </w:tr>
    </w:tbl>
    <w:p w:rsidR="004C5BCC" w:rsidRPr="00F749A5" w:rsidRDefault="004C5BCC" w:rsidP="00382548">
      <w:pPr>
        <w:spacing w:after="0" w:line="240" w:lineRule="auto"/>
        <w:jc w:val="both"/>
        <w:rPr>
          <w:rFonts w:ascii="Times New Roman" w:eastAsia="Times New Roman" w:hAnsi="Times New Roman" w:cs="Times New Roman"/>
          <w:sz w:val="20"/>
          <w:szCs w:val="20"/>
          <w:lang w:eastAsia="pl-PL"/>
        </w:rPr>
      </w:pPr>
      <w:r w:rsidRPr="00F749A5">
        <w:rPr>
          <w:rFonts w:ascii="Times New Roman" w:eastAsia="Times New Roman" w:hAnsi="Times New Roman" w:cs="Times New Roman"/>
          <w:sz w:val="20"/>
          <w:szCs w:val="20"/>
          <w:lang w:eastAsia="pl-PL"/>
        </w:rPr>
        <w:t xml:space="preserve">Źródło: </w:t>
      </w:r>
      <w:proofErr w:type="spellStart"/>
      <w:r w:rsidRPr="00F749A5">
        <w:rPr>
          <w:rFonts w:ascii="Times New Roman" w:eastAsia="Times New Roman" w:hAnsi="Times New Roman" w:cs="Times New Roman"/>
          <w:sz w:val="20"/>
          <w:szCs w:val="20"/>
          <w:lang w:eastAsia="pl-PL"/>
        </w:rPr>
        <w:t>MIiR</w:t>
      </w:r>
      <w:proofErr w:type="spellEnd"/>
      <w:r w:rsidRPr="00F749A5">
        <w:rPr>
          <w:rFonts w:ascii="Times New Roman" w:eastAsia="Times New Roman" w:hAnsi="Times New Roman" w:cs="Times New Roman"/>
          <w:sz w:val="20"/>
          <w:szCs w:val="20"/>
          <w:lang w:eastAsia="pl-PL"/>
        </w:rPr>
        <w:t xml:space="preserve"> na podstawie danych GUS</w:t>
      </w:r>
    </w:p>
    <w:p w:rsidR="00F749A5" w:rsidRDefault="00F749A5" w:rsidP="004C5BCC">
      <w:pPr>
        <w:spacing w:after="120" w:line="240" w:lineRule="exact"/>
        <w:jc w:val="both"/>
        <w:rPr>
          <w:rFonts w:eastAsia="Times New Roman" w:cs="Times New Roman"/>
          <w:lang w:eastAsia="pl-PL"/>
        </w:rPr>
      </w:pPr>
    </w:p>
    <w:p w:rsidR="004C5BCC" w:rsidRPr="00F749A5" w:rsidRDefault="004C5BCC" w:rsidP="00F749A5">
      <w:pPr>
        <w:spacing w:before="120"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 xml:space="preserve">Mając na uwadze wyniki analiz, omówione obszernie w części II uzasadnienia projektu ustawy, w ocenie projektodawcy zmiany w art. 30 powinny zapewniać objęcie nowym </w:t>
      </w:r>
      <w:r w:rsidRPr="00F749A5">
        <w:rPr>
          <w:rFonts w:ascii="Times New Roman" w:eastAsia="Times New Roman" w:hAnsi="Times New Roman" w:cs="Times New Roman"/>
          <w:spacing w:val="4"/>
          <w:sz w:val="24"/>
          <w:szCs w:val="24"/>
          <w:lang w:eastAsia="pl-PL"/>
        </w:rPr>
        <w:t xml:space="preserve">instrumentem wsparcia społecznego budownictwa czynszowego wyłącznie mieszkań użytkowanych na takich zasadach, które pozwolą wypełnić obecną lukę w dostępie do instrumentów wsparcia mieszkalnictwa, a także do rynkowych możliwości zaspokajania potrzeb mieszkaniowych. </w:t>
      </w:r>
      <w:r w:rsidRPr="00F749A5">
        <w:rPr>
          <w:rFonts w:ascii="Times New Roman" w:eastAsia="Times New Roman" w:hAnsi="Times New Roman" w:cs="Times New Roman"/>
          <w:sz w:val="24"/>
          <w:szCs w:val="24"/>
          <w:lang w:eastAsia="pl-PL"/>
        </w:rPr>
        <w:t>W ramach rozwiązań zwiększających dostępność mieszkań na wynajem o umiarkowanym czynszu w grupach osób o dochodach uniemożliwiających samodzielne zaspokojenie potrzeb mieszkaniowych projekt nowelizacji przewiduje wprowadzenie zmian korygujących:</w:t>
      </w:r>
    </w:p>
    <w:p w:rsidR="004C5BCC" w:rsidRPr="00F749A5" w:rsidRDefault="004C5BCC" w:rsidP="00655511">
      <w:pPr>
        <w:numPr>
          <w:ilvl w:val="0"/>
          <w:numId w:val="24"/>
        </w:numPr>
        <w:spacing w:before="120" w:after="0" w:line="360" w:lineRule="auto"/>
        <w:ind w:left="360"/>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aktualną wartość dochodów gospodarstwa domowego, uprawniającą do ubiegania się o najem lokali mieszkalnych w zasobach wybudowanych w ramach rządowego programu wsparcia,</w:t>
      </w:r>
    </w:p>
    <w:p w:rsidR="004C5BCC" w:rsidRPr="00F749A5" w:rsidRDefault="004C5BCC" w:rsidP="00655511">
      <w:pPr>
        <w:numPr>
          <w:ilvl w:val="0"/>
          <w:numId w:val="24"/>
        </w:numPr>
        <w:spacing w:before="120" w:after="0" w:line="360" w:lineRule="auto"/>
        <w:ind w:left="360"/>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wskaźnik GUS, będący punktem odniesienia dla ustalenia wysokości limitów dochodowych,</w:t>
      </w:r>
    </w:p>
    <w:p w:rsidR="004C5BCC" w:rsidRPr="00F749A5" w:rsidRDefault="004C5BCC" w:rsidP="00655511">
      <w:pPr>
        <w:numPr>
          <w:ilvl w:val="0"/>
          <w:numId w:val="24"/>
        </w:numPr>
        <w:spacing w:before="120" w:after="0" w:line="360" w:lineRule="auto"/>
        <w:ind w:left="360"/>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przepisy dotyczące okresowej weryfikacji dochodów gospodarstwa domowego najemcy lokalu wybudowanego przy wykorzystaniu rządowego programu wsparcia na (etap użytkowania wybudowanego mieszkania).</w:t>
      </w:r>
    </w:p>
    <w:p w:rsidR="00566194" w:rsidRPr="00F749A5" w:rsidRDefault="00566194" w:rsidP="00F749A5">
      <w:pPr>
        <w:spacing w:before="120" w:after="0" w:line="360" w:lineRule="auto"/>
        <w:jc w:val="both"/>
        <w:rPr>
          <w:rFonts w:ascii="Times New Roman" w:eastAsia="Times New Roman" w:hAnsi="Times New Roman" w:cs="Times New Roman"/>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53"/>
      </w:tblGrid>
      <w:tr w:rsidR="004C5BCC" w:rsidRPr="00F749A5" w:rsidTr="00AA1407">
        <w:tc>
          <w:tcPr>
            <w:tcW w:w="959" w:type="dxa"/>
          </w:tcPr>
          <w:p w:rsidR="004C5BCC" w:rsidRPr="00D15C66" w:rsidRDefault="004C5BCC" w:rsidP="00F749A5">
            <w:pPr>
              <w:spacing w:before="120" w:line="360" w:lineRule="auto"/>
              <w:jc w:val="both"/>
              <w:rPr>
                <w:rFonts w:ascii="Times New Roman" w:eastAsia="Times New Roman" w:hAnsi="Times New Roman" w:cs="Times New Roman"/>
                <w:sz w:val="24"/>
                <w:szCs w:val="24"/>
                <w:lang w:eastAsia="pl-PL"/>
              </w:rPr>
            </w:pPr>
            <w:r w:rsidRPr="00D15C66">
              <w:rPr>
                <w:rFonts w:ascii="Times New Roman" w:eastAsia="Times New Roman" w:hAnsi="Times New Roman" w:cs="Times New Roman"/>
                <w:sz w:val="24"/>
                <w:szCs w:val="24"/>
                <w:lang w:eastAsia="pl-PL"/>
              </w:rPr>
              <w:t>Ad 1.</w:t>
            </w:r>
          </w:p>
        </w:tc>
        <w:tc>
          <w:tcPr>
            <w:tcW w:w="8253" w:type="dxa"/>
          </w:tcPr>
          <w:p w:rsidR="004C5BCC" w:rsidRPr="00D15C66" w:rsidRDefault="004C5BCC" w:rsidP="00D15C66">
            <w:pPr>
              <w:spacing w:before="120" w:line="360" w:lineRule="auto"/>
              <w:jc w:val="both"/>
              <w:rPr>
                <w:rFonts w:ascii="Times New Roman" w:eastAsia="Times New Roman" w:hAnsi="Times New Roman" w:cs="Times New Roman"/>
                <w:spacing w:val="4"/>
                <w:sz w:val="24"/>
                <w:szCs w:val="24"/>
                <w:lang w:eastAsia="pl-PL"/>
              </w:rPr>
            </w:pPr>
            <w:r w:rsidRPr="00D15C66">
              <w:rPr>
                <w:rFonts w:ascii="Times New Roman" w:eastAsia="Times New Roman" w:hAnsi="Times New Roman" w:cs="Times New Roman"/>
                <w:sz w:val="24"/>
                <w:szCs w:val="24"/>
                <w:lang w:eastAsia="pl-PL"/>
              </w:rPr>
              <w:t>Zmiana limitu dochodów gospodarstwa domowego, uprawniających do ubiegania się o najem społecznych mieszkań czynszowych</w:t>
            </w:r>
            <w:r w:rsidRPr="00795EAD">
              <w:rPr>
                <w:rFonts w:ascii="Times New Roman" w:eastAsia="Times New Roman" w:hAnsi="Times New Roman" w:cs="Times New Roman"/>
                <w:b/>
                <w:spacing w:val="4"/>
                <w:sz w:val="24"/>
                <w:szCs w:val="24"/>
                <w:lang w:eastAsia="pl-PL"/>
              </w:rPr>
              <w:t xml:space="preserve"> </w:t>
            </w:r>
            <w:r w:rsidR="00D15C66">
              <w:rPr>
                <w:rFonts w:ascii="Times New Roman" w:eastAsia="Times New Roman" w:hAnsi="Times New Roman" w:cs="Times New Roman"/>
                <w:spacing w:val="4"/>
                <w:sz w:val="24"/>
                <w:szCs w:val="24"/>
                <w:lang w:eastAsia="pl-PL"/>
              </w:rPr>
              <w:t xml:space="preserve">– </w:t>
            </w:r>
            <w:r w:rsidRPr="00795EAD">
              <w:rPr>
                <w:rFonts w:ascii="Times New Roman" w:eastAsia="Times New Roman" w:hAnsi="Times New Roman" w:cs="Times New Roman"/>
                <w:b/>
                <w:spacing w:val="4"/>
                <w:sz w:val="24"/>
                <w:szCs w:val="24"/>
                <w:lang w:eastAsia="pl-PL"/>
              </w:rPr>
              <w:t>art. 30 ust. 2 pkt 1</w:t>
            </w:r>
          </w:p>
        </w:tc>
      </w:tr>
    </w:tbl>
    <w:p w:rsidR="004C5BCC" w:rsidRPr="00F749A5" w:rsidRDefault="004C5BCC"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Proponowana korekta parametrów dochodowych, zakładająca zmianę w art. 30 ust. 1 pkt</w:t>
      </w:r>
      <w:r w:rsidR="00795EAD">
        <w:rPr>
          <w:rFonts w:ascii="Times New Roman" w:eastAsia="Times New Roman" w:hAnsi="Times New Roman" w:cs="Times New Roman"/>
          <w:spacing w:val="4"/>
          <w:sz w:val="24"/>
          <w:szCs w:val="24"/>
          <w:lang w:eastAsia="pl-PL"/>
        </w:rPr>
        <w:t> </w:t>
      </w:r>
      <w:r w:rsidRPr="00F749A5">
        <w:rPr>
          <w:rFonts w:ascii="Times New Roman" w:eastAsia="Times New Roman" w:hAnsi="Times New Roman" w:cs="Times New Roman"/>
          <w:spacing w:val="4"/>
          <w:sz w:val="24"/>
          <w:szCs w:val="24"/>
          <w:lang w:eastAsia="pl-PL"/>
        </w:rPr>
        <w:t xml:space="preserve">2 ustawy, uwzględnia wyniki analizy możliwości wynajęcia mieszkania na rynku najmu komercyjnego lub zakupu mieszkania na rynku wtórnym i pierwotnym, przeprowadzonej w oparciu o cykliczne dane publikowane przez Narodowy Bank Polski dotyczące przeciętnej ceny transakcyjnej mieszkań na rynku wtórnym i rynku pierwotnym oraz średniej stawki wynajmu mieszkań w 16 miastach będących siedzibą wojewody lub sejmiku województwa. </w:t>
      </w:r>
    </w:p>
    <w:p w:rsidR="004C5BCC" w:rsidRPr="00F749A5" w:rsidRDefault="004C5BCC"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W analizach założono, że docelowe mieszkanie powinno spełniać standardy umożliwiające rodzinie zaspokojenie potrzeb mieszkaniowych na przeciętnym poziomie </w:t>
      </w:r>
      <w:r w:rsidRPr="00F749A5">
        <w:rPr>
          <w:rFonts w:ascii="Times New Roman" w:eastAsia="Times New Roman" w:hAnsi="Times New Roman" w:cs="Times New Roman"/>
          <w:spacing w:val="4"/>
          <w:sz w:val="24"/>
          <w:szCs w:val="24"/>
          <w:lang w:eastAsia="pl-PL"/>
        </w:rPr>
        <w:lastRenderedPageBreak/>
        <w:t>(35 m</w:t>
      </w:r>
      <w:r w:rsidRPr="00F749A5">
        <w:rPr>
          <w:rFonts w:ascii="Times New Roman" w:eastAsia="Times New Roman" w:hAnsi="Times New Roman" w:cs="Times New Roman"/>
          <w:spacing w:val="4"/>
          <w:sz w:val="24"/>
          <w:szCs w:val="24"/>
          <w:vertAlign w:val="superscript"/>
          <w:lang w:eastAsia="pl-PL"/>
        </w:rPr>
        <w:t>2</w:t>
      </w:r>
      <w:r w:rsidRPr="00F749A5">
        <w:rPr>
          <w:rFonts w:ascii="Times New Roman" w:eastAsia="Times New Roman" w:hAnsi="Times New Roman" w:cs="Times New Roman"/>
          <w:spacing w:val="4"/>
          <w:sz w:val="24"/>
          <w:szCs w:val="24"/>
          <w:lang w:eastAsia="pl-PL"/>
        </w:rPr>
        <w:t xml:space="preserve"> dla gospodarstwa domowego jednoosobowego, 50 m</w:t>
      </w:r>
      <w:r w:rsidRPr="00F749A5">
        <w:rPr>
          <w:rFonts w:ascii="Times New Roman" w:eastAsia="Times New Roman" w:hAnsi="Times New Roman" w:cs="Times New Roman"/>
          <w:spacing w:val="4"/>
          <w:sz w:val="24"/>
          <w:szCs w:val="24"/>
          <w:vertAlign w:val="superscript"/>
          <w:lang w:eastAsia="pl-PL"/>
        </w:rPr>
        <w:t>2</w:t>
      </w:r>
      <w:r w:rsidRPr="00F749A5">
        <w:rPr>
          <w:rFonts w:ascii="Times New Roman" w:eastAsia="Times New Roman" w:hAnsi="Times New Roman" w:cs="Times New Roman"/>
          <w:spacing w:val="4"/>
          <w:sz w:val="24"/>
          <w:szCs w:val="24"/>
          <w:lang w:eastAsia="pl-PL"/>
        </w:rPr>
        <w:t xml:space="preserve"> dla gospodarstwa domowego 2-osobowego i dodatkowe 10 m</w:t>
      </w:r>
      <w:r w:rsidRPr="00F749A5">
        <w:rPr>
          <w:rFonts w:ascii="Times New Roman" w:eastAsia="Times New Roman" w:hAnsi="Times New Roman" w:cs="Times New Roman"/>
          <w:spacing w:val="4"/>
          <w:sz w:val="24"/>
          <w:szCs w:val="24"/>
          <w:vertAlign w:val="superscript"/>
          <w:lang w:eastAsia="pl-PL"/>
        </w:rPr>
        <w:t>2</w:t>
      </w:r>
      <w:r w:rsidRPr="00F749A5">
        <w:rPr>
          <w:rFonts w:ascii="Times New Roman" w:eastAsia="Times New Roman" w:hAnsi="Times New Roman" w:cs="Times New Roman"/>
          <w:spacing w:val="4"/>
          <w:sz w:val="24"/>
          <w:szCs w:val="24"/>
          <w:lang w:eastAsia="pl-PL"/>
        </w:rPr>
        <w:t xml:space="preserve"> dla każdej kolejnej osoby w rodzinie). Ponadto przyjęto, że dane gospodarstwo domowe ponosi miesięczne wydatki na poziomie minimum socjalnego ustalanego przez Instytut Pracy i Spraw Socjalnych, zaś dochody netto gospodarstwa domowego w całości są przeznaczone na pokrycie minimum socjalnego oraz wydatków potencjalnie przeznaczonych na wynajem mieszkania na rynku lub obsługę kredytu mieszkaniowego zaciągniętego na zakup mieszkania (kredyt </w:t>
      </w:r>
      <w:proofErr w:type="spellStart"/>
      <w:r w:rsidRPr="00F749A5">
        <w:rPr>
          <w:rFonts w:ascii="Times New Roman" w:eastAsia="Times New Roman" w:hAnsi="Times New Roman" w:cs="Times New Roman"/>
          <w:spacing w:val="4"/>
          <w:sz w:val="24"/>
          <w:szCs w:val="24"/>
          <w:lang w:eastAsia="pl-PL"/>
        </w:rPr>
        <w:t>annuitetowy</w:t>
      </w:r>
      <w:proofErr w:type="spellEnd"/>
      <w:r w:rsidRPr="00F749A5">
        <w:rPr>
          <w:rFonts w:ascii="Times New Roman" w:eastAsia="Times New Roman" w:hAnsi="Times New Roman" w:cs="Times New Roman"/>
          <w:spacing w:val="4"/>
          <w:sz w:val="24"/>
          <w:szCs w:val="24"/>
          <w:lang w:eastAsia="pl-PL"/>
        </w:rPr>
        <w:t>, 25-letni, oprocentowanie 6%</w:t>
      </w:r>
      <w:r w:rsidR="00B639E0" w:rsidRPr="00F749A5">
        <w:rPr>
          <w:rStyle w:val="Odwoanieprzypisudolnego"/>
          <w:rFonts w:ascii="Times New Roman" w:eastAsia="Times New Roman" w:hAnsi="Times New Roman" w:cs="Times New Roman"/>
          <w:spacing w:val="4"/>
          <w:sz w:val="24"/>
          <w:szCs w:val="24"/>
          <w:lang w:eastAsia="pl-PL"/>
        </w:rPr>
        <w:footnoteReference w:id="13"/>
      </w:r>
      <w:r w:rsidR="00795EAD">
        <w:rPr>
          <w:rFonts w:ascii="Times New Roman" w:eastAsia="Times New Roman" w:hAnsi="Times New Roman" w:cs="Times New Roman"/>
          <w:spacing w:val="4"/>
          <w:sz w:val="24"/>
          <w:szCs w:val="24"/>
          <w:vertAlign w:val="superscript"/>
          <w:lang w:eastAsia="pl-PL"/>
        </w:rPr>
        <w:t>)</w:t>
      </w:r>
      <w:r w:rsidRPr="00F749A5">
        <w:rPr>
          <w:rFonts w:ascii="Times New Roman" w:eastAsia="Times New Roman" w:hAnsi="Times New Roman" w:cs="Times New Roman"/>
          <w:spacing w:val="4"/>
          <w:sz w:val="24"/>
          <w:szCs w:val="24"/>
          <w:lang w:eastAsia="pl-PL"/>
        </w:rPr>
        <w:t xml:space="preserve">). Zaproponowane w projekcie ustawy limity dochodów umożliwiających ubieganie się o najem mieszkania społecznego uwzględniają wyniki ww. analizy. Gospodarstwa domowe uzyskujące dochody powyżej zaproponowanych limitów mogą samodzielnie zaspokoić potrzeby mieszkaniowe na rynku najmu lub rynku mieszkań własnościowych. Możliwość zaspokojenia potrzeb na rynku jest różna w zależności od uwarunkowań lokalnych, jednak zaproponowany ustawowo limit został tak dobrany, aby umożliwić skorzystanie z możliwości najmu mieszkania społecznego tym gospodarstwom domowym, które tego potrzebują. </w:t>
      </w:r>
    </w:p>
    <w:p w:rsidR="004C5BCC" w:rsidRPr="00F749A5" w:rsidRDefault="004C5BCC"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Efektem wprowadzenia zmiany zaproponowanej w art. 30 ust. 1 pkt 2 będzie obniżenie </w:t>
      </w:r>
      <w:r w:rsidRPr="00F749A5">
        <w:rPr>
          <w:rFonts w:ascii="Times New Roman" w:eastAsia="Times New Roman" w:hAnsi="Times New Roman" w:cs="Times New Roman"/>
          <w:sz w:val="24"/>
          <w:szCs w:val="24"/>
          <w:lang w:eastAsia="pl-PL"/>
        </w:rPr>
        <w:t>maksymalnej wartości dochodów gospodarstwa domowego, uprawniających do ubiegania się o najem lokali mieszkalnych w zasobach wybudowanych w ramach rządowego programu wsparcia. Proponowane w tym zakresie rozwiązania uwzględniają:</w:t>
      </w:r>
    </w:p>
    <w:p w:rsidR="004C5BCC" w:rsidRPr="00F749A5" w:rsidRDefault="004C5BCC" w:rsidP="00655511">
      <w:pPr>
        <w:numPr>
          <w:ilvl w:val="0"/>
          <w:numId w:val="22"/>
        </w:numPr>
        <w:spacing w:before="120" w:after="0" w:line="360" w:lineRule="auto"/>
        <w:ind w:left="360"/>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pacing w:val="4"/>
          <w:sz w:val="24"/>
          <w:szCs w:val="24"/>
          <w:lang w:eastAsia="pl-PL"/>
        </w:rPr>
        <w:t>wnioski z przeprowadzonej w 2014 r. przez Ministerstwo Infrastruktury i Rozwoju oceny dostępności mieszkań w kontekście instrumentów polityki mieszkaniowej państwa,</w:t>
      </w:r>
    </w:p>
    <w:p w:rsidR="000562B0" w:rsidRPr="00655511" w:rsidRDefault="004C5BCC" w:rsidP="00F749A5">
      <w:pPr>
        <w:numPr>
          <w:ilvl w:val="0"/>
          <w:numId w:val="22"/>
        </w:numPr>
        <w:spacing w:before="120" w:after="0" w:line="360" w:lineRule="auto"/>
        <w:ind w:left="360"/>
        <w:contextualSpacing/>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z w:val="24"/>
          <w:szCs w:val="24"/>
          <w:lang w:eastAsia="pl-PL"/>
        </w:rPr>
        <w:t xml:space="preserve">zalecenia sformułowane w ramach przeprowadzonej w 2009 r. ewaluacji programu preferencyjnych kredytów udzielanych ze środków byłego KFM przez ekspertów Banku </w:t>
      </w:r>
      <w:r w:rsidRPr="00F749A5">
        <w:rPr>
          <w:rFonts w:ascii="Times New Roman" w:eastAsia="Times New Roman" w:hAnsi="Times New Roman" w:cs="Times New Roman"/>
          <w:spacing w:val="4"/>
          <w:sz w:val="24"/>
          <w:szCs w:val="24"/>
          <w:lang w:eastAsia="pl-PL"/>
        </w:rPr>
        <w:t>Światowego.</w:t>
      </w:r>
    </w:p>
    <w:p w:rsidR="000562B0" w:rsidRPr="00F749A5" w:rsidRDefault="004C5BCC" w:rsidP="00F749A5">
      <w:pPr>
        <w:spacing w:before="120" w:after="0" w:line="360" w:lineRule="auto"/>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pacing w:val="4"/>
          <w:sz w:val="24"/>
          <w:szCs w:val="24"/>
          <w:lang w:eastAsia="pl-PL"/>
        </w:rPr>
        <w:t>Uwzględniając powyższe przyjęto założenie, że</w:t>
      </w:r>
      <w:r w:rsid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racjonalną formą wypełnienia obecnej luki adresowania instrumentów wsparcia powinien być nowy instrument wspierający podaż mieszkań na</w:t>
      </w:r>
      <w:r w:rsidRPr="00F749A5">
        <w:rPr>
          <w:rFonts w:ascii="Times New Roman" w:eastAsia="Times New Roman" w:hAnsi="Times New Roman" w:cs="Times New Roman"/>
          <w:sz w:val="24"/>
          <w:szCs w:val="24"/>
          <w:lang w:eastAsia="pl-PL"/>
        </w:rPr>
        <w:t xml:space="preserve"> wynajem o umiarkowanych czynszach adresowany do </w:t>
      </w:r>
      <w:r w:rsidRPr="00F749A5">
        <w:rPr>
          <w:rFonts w:ascii="Times New Roman" w:eastAsia="Times New Roman" w:hAnsi="Times New Roman" w:cs="Times New Roman"/>
          <w:spacing w:val="4"/>
          <w:sz w:val="24"/>
          <w:szCs w:val="24"/>
          <w:lang w:eastAsia="pl-PL"/>
        </w:rPr>
        <w:t>go</w:t>
      </w:r>
      <w:r w:rsidRPr="00F749A5">
        <w:rPr>
          <w:rFonts w:ascii="Times New Roman" w:eastAsia="Times New Roman" w:hAnsi="Times New Roman" w:cs="Times New Roman"/>
          <w:sz w:val="24"/>
          <w:szCs w:val="24"/>
          <w:lang w:eastAsia="pl-PL"/>
        </w:rPr>
        <w:t>spodarstw domowych osiągających dochody mieszczące się maksymalnie w VI</w:t>
      </w:r>
      <w:r w:rsidR="00795EAD">
        <w:rPr>
          <w:rFonts w:ascii="Times New Roman" w:eastAsia="Times New Roman" w:hAnsi="Times New Roman" w:cs="Times New Roman"/>
          <w:sz w:val="24"/>
          <w:szCs w:val="24"/>
          <w:lang w:eastAsia="pl-PL"/>
        </w:rPr>
        <w:t>–</w:t>
      </w:r>
      <w:r w:rsidRPr="00F749A5">
        <w:rPr>
          <w:rFonts w:ascii="Times New Roman" w:eastAsia="Times New Roman" w:hAnsi="Times New Roman" w:cs="Times New Roman"/>
          <w:sz w:val="24"/>
          <w:szCs w:val="24"/>
          <w:lang w:eastAsia="pl-PL"/>
        </w:rPr>
        <w:t xml:space="preserve">VII decylu rozkładu wynagrodzeń, co odpowiada zaproponowanej w art. 30 ust. 1 pkt 2 podstawowej formule ustalania wysokości maksymalnych dochodów. </w:t>
      </w:r>
    </w:p>
    <w:p w:rsidR="000562B0" w:rsidRPr="00F749A5" w:rsidRDefault="007F570C" w:rsidP="00F749A5">
      <w:pPr>
        <w:spacing w:before="120" w:after="0" w:line="360" w:lineRule="auto"/>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lastRenderedPageBreak/>
        <w:t>W porównaniu z aktualnym stanem prawnym, nowa formuła wyznaczająca maksymalne wartości dochodów uprawniających do najmu mieszkania społecznego w przypadku województw wpłynie na obniżenie obecnych wartości kryteriów dochodowych, ustalonych na podstawie art. 30 – przeciętnie o ok. 50% dla jednoosobowego gospodarstwa domowego i dwuosobowego gospodarstwa oraz ok. 43% dla trzyosobowego i czteroosobowego gospodarstwa. W przypadku gospodarstw domowych jednoosobowych przewidziany limit dochodów będzie się mieścił w VI (w przypadku 9 województw) lub VII (w przypadku 7</w:t>
      </w:r>
      <w:r w:rsidR="008D10D8">
        <w:rPr>
          <w:rFonts w:ascii="Times New Roman" w:eastAsia="Times New Roman" w:hAnsi="Times New Roman" w:cs="Times New Roman"/>
          <w:sz w:val="24"/>
          <w:szCs w:val="24"/>
          <w:lang w:eastAsia="pl-PL"/>
        </w:rPr>
        <w:t> </w:t>
      </w:r>
      <w:r w:rsidRPr="00F749A5">
        <w:rPr>
          <w:rFonts w:ascii="Times New Roman" w:eastAsia="Times New Roman" w:hAnsi="Times New Roman" w:cs="Times New Roman"/>
          <w:sz w:val="24"/>
          <w:szCs w:val="24"/>
          <w:lang w:eastAsia="pl-PL"/>
        </w:rPr>
        <w:t>województw) decylu rozkładów dochodów. Oznacza to, że teoretycznie (bez uwzględnienia innych kryteriów) o najem będzie się mogło ubiegać ok. 60</w:t>
      </w:r>
      <w:r w:rsidR="00795EAD">
        <w:rPr>
          <w:rFonts w:ascii="Times New Roman" w:eastAsia="Times New Roman" w:hAnsi="Times New Roman" w:cs="Times New Roman"/>
          <w:sz w:val="24"/>
          <w:szCs w:val="24"/>
          <w:lang w:eastAsia="pl-PL"/>
        </w:rPr>
        <w:t>–</w:t>
      </w:r>
      <w:r w:rsidRPr="00F749A5">
        <w:rPr>
          <w:rFonts w:ascii="Times New Roman" w:eastAsia="Times New Roman" w:hAnsi="Times New Roman" w:cs="Times New Roman"/>
          <w:sz w:val="24"/>
          <w:szCs w:val="24"/>
          <w:lang w:eastAsia="pl-PL"/>
        </w:rPr>
        <w:t>70% osób pobierających wynagrodzenie. Osoby osiągające wyższe dochody mogą się ubiegać o wsparcie w ramach programu „Mieszkanie dla młodych” lub korzystać z komercyjnej oferty mieszkaniowej. Określenie limitów dochodów na proponowanym poziomie zlikwiduje więc lukę w dostępie do instrumentów polityki mieszkaniowej.</w:t>
      </w:r>
    </w:p>
    <w:p w:rsidR="00F36C21" w:rsidRPr="00F749A5" w:rsidRDefault="004C5BCC" w:rsidP="00F749A5">
      <w:pPr>
        <w:spacing w:before="120" w:after="0" w:line="360" w:lineRule="auto"/>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Wraz z istotnym obniżeniem limitów dochodów uprawniających do najmu mieszkania na preferencyjnych zasadach, w przypadku lokalu położonego na terenie miasta będącego siedzibą wojewody lub sejmiku województwa projekt nowelizacji przewiduje ustalenie tych limitów na poziomie wyższym niż limity dotyczące pozostałej części województwa. Proponowane rozwiązanie bierze m.in. pod uwagę zasady określania maksymalnej stawki czynszu za najem mieszkania wybudowanego w ramach programów wsparcia, które w przypadku stolic województw w praktyce oznaczają ustaleni</w:t>
      </w:r>
      <w:r w:rsidR="00F44E31" w:rsidRPr="00F749A5">
        <w:rPr>
          <w:rFonts w:ascii="Times New Roman" w:eastAsia="Times New Roman" w:hAnsi="Times New Roman" w:cs="Times New Roman"/>
          <w:sz w:val="24"/>
          <w:szCs w:val="24"/>
          <w:lang w:eastAsia="pl-PL"/>
        </w:rPr>
        <w:t>e</w:t>
      </w:r>
      <w:r w:rsidRPr="00F749A5">
        <w:rPr>
          <w:rFonts w:ascii="Times New Roman" w:eastAsia="Times New Roman" w:hAnsi="Times New Roman" w:cs="Times New Roman"/>
          <w:sz w:val="24"/>
          <w:szCs w:val="24"/>
          <w:lang w:eastAsia="pl-PL"/>
        </w:rPr>
        <w:t xml:space="preserve"> maksymalnego czynszu na poziomie wyższym niż w pozostałych lokalizacjach województwa. </w:t>
      </w:r>
      <w:r w:rsidR="00F36C21" w:rsidRPr="00F749A5">
        <w:rPr>
          <w:rFonts w:ascii="Times New Roman" w:eastAsia="Times New Roman" w:hAnsi="Times New Roman" w:cs="Times New Roman"/>
          <w:sz w:val="24"/>
          <w:szCs w:val="24"/>
          <w:lang w:eastAsia="pl-PL"/>
        </w:rPr>
        <w:t>Zgodnie z art. 24 ust. 2 ustawy o niektórych formach</w:t>
      </w:r>
      <w:r w:rsidR="001F1AB1">
        <w:rPr>
          <w:rFonts w:ascii="Times New Roman" w:eastAsia="Times New Roman" w:hAnsi="Times New Roman" w:cs="Times New Roman"/>
          <w:sz w:val="24"/>
          <w:szCs w:val="24"/>
          <w:lang w:eastAsia="pl-PL"/>
        </w:rPr>
        <w:t xml:space="preserve"> </w:t>
      </w:r>
      <w:r w:rsidR="00F36C21" w:rsidRPr="00F749A5">
        <w:rPr>
          <w:rFonts w:ascii="Times New Roman" w:eastAsia="Times New Roman" w:hAnsi="Times New Roman" w:cs="Times New Roman"/>
          <w:sz w:val="24"/>
          <w:szCs w:val="24"/>
          <w:lang w:eastAsia="pl-PL"/>
        </w:rPr>
        <w:t xml:space="preserve">… podstawą określania maksymalnej stawki czynszu za najem mieszkania jest wartość odtworzeniowa, ogłaszana w każdym regionie odrębnie dla stolic województwa i pozostałej części województwa. W okresie od 2007 r. (ten okres uwzględnia już wprowadzenie odwołujących się do wskaźnika wartości odtworzeniowej programów wspierających rodziny w zaspokajaniu potrzeb mieszkaniowych na rynku mieszkań użytkowanych w oparciu o prawo własności) przeciętne wartości obowiązujących wskaźników dla stolic województw kształtują się na poziomie </w:t>
      </w:r>
      <w:r w:rsidR="008D10D8">
        <w:rPr>
          <w:rFonts w:ascii="Times New Roman" w:eastAsia="Times New Roman" w:hAnsi="Times New Roman" w:cs="Times New Roman"/>
          <w:sz w:val="24"/>
          <w:szCs w:val="24"/>
          <w:lang w:eastAsia="pl-PL"/>
        </w:rPr>
        <w:t>o 20–</w:t>
      </w:r>
      <w:r w:rsidR="00F36C21" w:rsidRPr="00F749A5">
        <w:rPr>
          <w:rFonts w:ascii="Times New Roman" w:eastAsia="Times New Roman" w:hAnsi="Times New Roman" w:cs="Times New Roman"/>
          <w:sz w:val="24"/>
          <w:szCs w:val="24"/>
          <w:lang w:eastAsia="pl-PL"/>
        </w:rPr>
        <w:t>30% wyższym od wartości wskaźników obowiązujących na pozostałym obszarze województwa.</w:t>
      </w:r>
      <w:r w:rsidR="00F749A5">
        <w:rPr>
          <w:rFonts w:ascii="Times New Roman" w:eastAsia="Times New Roman" w:hAnsi="Times New Roman" w:cs="Times New Roman"/>
          <w:sz w:val="24"/>
          <w:szCs w:val="24"/>
          <w:lang w:eastAsia="pl-PL"/>
        </w:rPr>
        <w:t xml:space="preserve"> </w:t>
      </w:r>
      <w:r w:rsidR="00F36C21" w:rsidRPr="00F749A5">
        <w:rPr>
          <w:rFonts w:ascii="Times New Roman" w:eastAsia="Times New Roman" w:hAnsi="Times New Roman" w:cs="Times New Roman"/>
          <w:sz w:val="24"/>
          <w:szCs w:val="24"/>
          <w:lang w:eastAsia="pl-PL"/>
        </w:rPr>
        <w:t xml:space="preserve">Zaproponowany w art. 30 ust. 1 pkt 2 współczynnik, który dla lokalu położonego na terenie miasta będącego siedzibą wojewody lub sejmiku województwa podwyższa o dodatkowe 20% wartość podstawy przyjętej dla ustalenia limitów dochodów, uwzględnia ww. zróżnicowania. </w:t>
      </w:r>
    </w:p>
    <w:p w:rsidR="004C5BCC" w:rsidRPr="00655511" w:rsidRDefault="004C5BCC" w:rsidP="00F749A5">
      <w:pPr>
        <w:spacing w:before="120" w:after="0" w:line="360" w:lineRule="auto"/>
        <w:jc w:val="both"/>
        <w:rPr>
          <w:rFonts w:ascii="Times New Roman" w:eastAsia="Times New Roman" w:hAnsi="Times New Roman" w:cs="Times New Roman"/>
          <w:sz w:val="24"/>
          <w:szCs w:val="24"/>
          <w:lang w:eastAsia="pl-PL"/>
        </w:rPr>
      </w:pPr>
      <w:r w:rsidRPr="00655511">
        <w:rPr>
          <w:rFonts w:ascii="Times New Roman" w:eastAsia="Times New Roman" w:hAnsi="Times New Roman" w:cs="Times New Roman"/>
          <w:sz w:val="24"/>
          <w:szCs w:val="24"/>
          <w:lang w:eastAsia="pl-PL"/>
        </w:rPr>
        <w:lastRenderedPageBreak/>
        <w:t xml:space="preserve">Porównanie istniejących i proponowanych limitów określających dochody osób ubiegających się o najem mieszkania wybudowanego w ramach rządowego programu wsparcia </w:t>
      </w:r>
    </w:p>
    <w:tbl>
      <w:tblPr>
        <w:tblStyle w:val="Tabela-Siatka"/>
        <w:tblW w:w="0" w:type="auto"/>
        <w:tblLook w:val="04A0" w:firstRow="1" w:lastRow="0" w:firstColumn="1" w:lastColumn="0" w:noHBand="0" w:noVBand="1"/>
      </w:tblPr>
      <w:tblGrid>
        <w:gridCol w:w="2500"/>
        <w:gridCol w:w="2286"/>
        <w:gridCol w:w="2247"/>
        <w:gridCol w:w="2255"/>
      </w:tblGrid>
      <w:tr w:rsidR="004C5BCC" w:rsidRPr="00F749A5" w:rsidTr="00AA1407">
        <w:trPr>
          <w:trHeight w:val="721"/>
        </w:trPr>
        <w:tc>
          <w:tcPr>
            <w:tcW w:w="2500" w:type="dxa"/>
            <w:shd w:val="pct25" w:color="auto" w:fill="auto"/>
          </w:tcPr>
          <w:p w:rsidR="004C5BCC" w:rsidRPr="00F749A5" w:rsidRDefault="004C5BCC" w:rsidP="00AA1407">
            <w:pPr>
              <w:jc w:val="both"/>
              <w:rPr>
                <w:rFonts w:ascii="Times New Roman" w:hAnsi="Times New Roman" w:cs="Times New Roman"/>
                <w:sz w:val="16"/>
                <w:szCs w:val="16"/>
                <w:highlight w:val="yellow"/>
              </w:rPr>
            </w:pPr>
          </w:p>
        </w:tc>
        <w:tc>
          <w:tcPr>
            <w:tcW w:w="2286" w:type="dxa"/>
            <w:shd w:val="pct25" w:color="auto" w:fill="auto"/>
          </w:tcPr>
          <w:p w:rsidR="004C5BCC" w:rsidRPr="00F749A5" w:rsidRDefault="004C5BCC" w:rsidP="00AA1407">
            <w:pPr>
              <w:jc w:val="center"/>
              <w:rPr>
                <w:rFonts w:ascii="Times New Roman" w:hAnsi="Times New Roman" w:cs="Times New Roman"/>
                <w:sz w:val="16"/>
                <w:szCs w:val="16"/>
              </w:rPr>
            </w:pPr>
            <w:r w:rsidRPr="00F749A5">
              <w:rPr>
                <w:rFonts w:ascii="Times New Roman" w:hAnsi="Times New Roman" w:cs="Times New Roman"/>
                <w:b/>
                <w:sz w:val="16"/>
                <w:szCs w:val="16"/>
              </w:rPr>
              <w:t>Aktualny limit</w:t>
            </w:r>
            <w:r w:rsidRPr="00F749A5">
              <w:rPr>
                <w:rFonts w:ascii="Times New Roman" w:hAnsi="Times New Roman" w:cs="Times New Roman"/>
                <w:sz w:val="16"/>
                <w:szCs w:val="16"/>
              </w:rPr>
              <w:t xml:space="preserve"> dochodów w stosunku do przeciętnego miesięcznego wynagrodzenia</w:t>
            </w:r>
          </w:p>
        </w:tc>
        <w:tc>
          <w:tcPr>
            <w:tcW w:w="2247" w:type="dxa"/>
            <w:shd w:val="pct25" w:color="auto" w:fill="auto"/>
          </w:tcPr>
          <w:p w:rsidR="004C5BCC" w:rsidRPr="00F749A5" w:rsidRDefault="004C5BCC" w:rsidP="00AA1407">
            <w:pPr>
              <w:jc w:val="center"/>
              <w:rPr>
                <w:rFonts w:ascii="Times New Roman" w:hAnsi="Times New Roman" w:cs="Times New Roman"/>
                <w:sz w:val="16"/>
                <w:szCs w:val="16"/>
              </w:rPr>
            </w:pPr>
            <w:r w:rsidRPr="00F749A5">
              <w:rPr>
                <w:rFonts w:ascii="Times New Roman" w:hAnsi="Times New Roman" w:cs="Times New Roman"/>
                <w:b/>
                <w:sz w:val="16"/>
                <w:szCs w:val="16"/>
              </w:rPr>
              <w:t>Projektowany limit</w:t>
            </w:r>
            <w:r w:rsidRPr="00F749A5">
              <w:rPr>
                <w:rFonts w:ascii="Times New Roman" w:hAnsi="Times New Roman" w:cs="Times New Roman"/>
                <w:sz w:val="16"/>
                <w:szCs w:val="16"/>
              </w:rPr>
              <w:t xml:space="preserve"> dochodów w stosunku do przeciętnego miesięcznego wynagrodzenia</w:t>
            </w:r>
          </w:p>
          <w:p w:rsidR="004C5BCC" w:rsidRPr="00F749A5" w:rsidRDefault="004C5BCC" w:rsidP="00795EAD">
            <w:pPr>
              <w:jc w:val="center"/>
              <w:rPr>
                <w:rFonts w:ascii="Times New Roman" w:hAnsi="Times New Roman" w:cs="Times New Roman"/>
                <w:sz w:val="16"/>
                <w:szCs w:val="16"/>
              </w:rPr>
            </w:pPr>
            <w:r w:rsidRPr="00F749A5">
              <w:rPr>
                <w:rFonts w:ascii="Times New Roman" w:hAnsi="Times New Roman" w:cs="Times New Roman"/>
                <w:sz w:val="16"/>
                <w:szCs w:val="16"/>
              </w:rPr>
              <w:t>(przeciętnie dla województw, z</w:t>
            </w:r>
            <w:r w:rsidR="00795EAD">
              <w:rPr>
                <w:rFonts w:ascii="Times New Roman" w:hAnsi="Times New Roman" w:cs="Times New Roman"/>
                <w:sz w:val="16"/>
                <w:szCs w:val="16"/>
              </w:rPr>
              <w:t> </w:t>
            </w:r>
            <w:r w:rsidRPr="00F749A5">
              <w:rPr>
                <w:rFonts w:ascii="Times New Roman" w:hAnsi="Times New Roman" w:cs="Times New Roman"/>
                <w:sz w:val="16"/>
                <w:szCs w:val="16"/>
              </w:rPr>
              <w:t>wyłączeniem stolic)</w:t>
            </w:r>
          </w:p>
        </w:tc>
        <w:tc>
          <w:tcPr>
            <w:tcW w:w="2255" w:type="dxa"/>
            <w:shd w:val="pct25" w:color="auto" w:fill="auto"/>
          </w:tcPr>
          <w:p w:rsidR="004C5BCC" w:rsidRPr="00F749A5" w:rsidRDefault="004C5BCC" w:rsidP="00AA1407">
            <w:pPr>
              <w:jc w:val="center"/>
              <w:rPr>
                <w:rFonts w:ascii="Times New Roman" w:hAnsi="Times New Roman" w:cs="Times New Roman"/>
                <w:sz w:val="16"/>
                <w:szCs w:val="16"/>
              </w:rPr>
            </w:pPr>
            <w:r w:rsidRPr="00F749A5">
              <w:rPr>
                <w:rFonts w:ascii="Times New Roman" w:hAnsi="Times New Roman" w:cs="Times New Roman"/>
                <w:b/>
                <w:sz w:val="16"/>
                <w:szCs w:val="16"/>
              </w:rPr>
              <w:t>Projektowany limit</w:t>
            </w:r>
            <w:r w:rsidRPr="00F749A5">
              <w:rPr>
                <w:rFonts w:ascii="Times New Roman" w:hAnsi="Times New Roman" w:cs="Times New Roman"/>
                <w:sz w:val="16"/>
                <w:szCs w:val="16"/>
              </w:rPr>
              <w:t xml:space="preserve"> dochodów w stosunku do przeciętnego miesięcznego wynagrodzenia</w:t>
            </w:r>
          </w:p>
          <w:p w:rsidR="004C5BCC" w:rsidRPr="00F749A5" w:rsidRDefault="004C5BCC" w:rsidP="00AA1407">
            <w:pPr>
              <w:jc w:val="center"/>
              <w:rPr>
                <w:rFonts w:ascii="Times New Roman" w:hAnsi="Times New Roman" w:cs="Times New Roman"/>
                <w:sz w:val="16"/>
                <w:szCs w:val="16"/>
                <w:highlight w:val="yellow"/>
              </w:rPr>
            </w:pPr>
            <w:r w:rsidRPr="00F749A5">
              <w:rPr>
                <w:rFonts w:ascii="Times New Roman" w:hAnsi="Times New Roman" w:cs="Times New Roman"/>
                <w:sz w:val="16"/>
                <w:szCs w:val="16"/>
              </w:rPr>
              <w:t>(stolice województw)</w:t>
            </w:r>
          </w:p>
        </w:tc>
      </w:tr>
      <w:tr w:rsidR="004C5BCC" w:rsidRPr="00F749A5" w:rsidTr="00AA1407">
        <w:trPr>
          <w:trHeight w:val="280"/>
        </w:trPr>
        <w:tc>
          <w:tcPr>
            <w:tcW w:w="2500" w:type="dxa"/>
            <w:vAlign w:val="center"/>
          </w:tcPr>
          <w:p w:rsidR="004C5BCC" w:rsidRPr="00F749A5" w:rsidRDefault="004C5BCC" w:rsidP="00AA1407">
            <w:pPr>
              <w:rPr>
                <w:rFonts w:ascii="Times New Roman" w:hAnsi="Times New Roman" w:cs="Times New Roman"/>
                <w:sz w:val="16"/>
                <w:szCs w:val="16"/>
              </w:rPr>
            </w:pPr>
            <w:r w:rsidRPr="00F749A5">
              <w:rPr>
                <w:rFonts w:ascii="Times New Roman" w:hAnsi="Times New Roman" w:cs="Times New Roman"/>
                <w:sz w:val="16"/>
                <w:szCs w:val="16"/>
              </w:rPr>
              <w:t>Gospodarstwa domowe 1-osobowe</w:t>
            </w:r>
          </w:p>
        </w:tc>
        <w:tc>
          <w:tcPr>
            <w:tcW w:w="2286"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156,0%</w:t>
            </w:r>
          </w:p>
        </w:tc>
        <w:tc>
          <w:tcPr>
            <w:tcW w:w="2247"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80,0%</w:t>
            </w:r>
          </w:p>
        </w:tc>
        <w:tc>
          <w:tcPr>
            <w:tcW w:w="2255"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96,0%</w:t>
            </w:r>
          </w:p>
        </w:tc>
      </w:tr>
      <w:tr w:rsidR="004C5BCC" w:rsidRPr="00F749A5" w:rsidTr="00AA1407">
        <w:trPr>
          <w:trHeight w:val="388"/>
        </w:trPr>
        <w:tc>
          <w:tcPr>
            <w:tcW w:w="2500" w:type="dxa"/>
            <w:vAlign w:val="center"/>
          </w:tcPr>
          <w:p w:rsidR="004C5BCC" w:rsidRPr="00F749A5" w:rsidRDefault="004C5BCC" w:rsidP="00AA1407">
            <w:pPr>
              <w:rPr>
                <w:rFonts w:ascii="Times New Roman" w:hAnsi="Times New Roman" w:cs="Times New Roman"/>
                <w:sz w:val="16"/>
                <w:szCs w:val="16"/>
              </w:rPr>
            </w:pPr>
            <w:r w:rsidRPr="00F749A5">
              <w:rPr>
                <w:rFonts w:ascii="Times New Roman" w:hAnsi="Times New Roman" w:cs="Times New Roman"/>
                <w:sz w:val="16"/>
                <w:szCs w:val="16"/>
              </w:rPr>
              <w:t>Gospodarstwa domowe 2-osobowe</w:t>
            </w:r>
          </w:p>
        </w:tc>
        <w:tc>
          <w:tcPr>
            <w:tcW w:w="2286"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234,0%</w:t>
            </w:r>
          </w:p>
        </w:tc>
        <w:tc>
          <w:tcPr>
            <w:tcW w:w="2247"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120,0%</w:t>
            </w:r>
          </w:p>
        </w:tc>
        <w:tc>
          <w:tcPr>
            <w:tcW w:w="2255"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144,0%</w:t>
            </w:r>
          </w:p>
        </w:tc>
      </w:tr>
      <w:tr w:rsidR="004C5BCC" w:rsidRPr="00F749A5" w:rsidTr="00AA1407">
        <w:trPr>
          <w:trHeight w:val="398"/>
        </w:trPr>
        <w:tc>
          <w:tcPr>
            <w:tcW w:w="2500" w:type="dxa"/>
            <w:vAlign w:val="center"/>
          </w:tcPr>
          <w:p w:rsidR="004C5BCC" w:rsidRPr="00F749A5" w:rsidRDefault="004C5BCC" w:rsidP="00AA1407">
            <w:pPr>
              <w:rPr>
                <w:rFonts w:ascii="Times New Roman" w:hAnsi="Times New Roman" w:cs="Times New Roman"/>
                <w:sz w:val="16"/>
                <w:szCs w:val="16"/>
              </w:rPr>
            </w:pPr>
            <w:r w:rsidRPr="00F749A5">
              <w:rPr>
                <w:rFonts w:ascii="Times New Roman" w:hAnsi="Times New Roman" w:cs="Times New Roman"/>
                <w:sz w:val="16"/>
                <w:szCs w:val="16"/>
              </w:rPr>
              <w:t>Gospodarstwa domowe 3-osobowe</w:t>
            </w:r>
          </w:p>
        </w:tc>
        <w:tc>
          <w:tcPr>
            <w:tcW w:w="2286"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286,0%</w:t>
            </w:r>
          </w:p>
        </w:tc>
        <w:tc>
          <w:tcPr>
            <w:tcW w:w="2247"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165,0%</w:t>
            </w:r>
          </w:p>
        </w:tc>
        <w:tc>
          <w:tcPr>
            <w:tcW w:w="2255"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198,0%</w:t>
            </w:r>
          </w:p>
        </w:tc>
      </w:tr>
      <w:tr w:rsidR="004C5BCC" w:rsidRPr="00F749A5" w:rsidTr="00AA1407">
        <w:trPr>
          <w:trHeight w:val="398"/>
        </w:trPr>
        <w:tc>
          <w:tcPr>
            <w:tcW w:w="2500" w:type="dxa"/>
            <w:vAlign w:val="center"/>
          </w:tcPr>
          <w:p w:rsidR="004C5BCC" w:rsidRPr="00F749A5" w:rsidRDefault="004C5BCC" w:rsidP="00AA1407">
            <w:pPr>
              <w:rPr>
                <w:rFonts w:ascii="Times New Roman" w:hAnsi="Times New Roman" w:cs="Times New Roman"/>
                <w:sz w:val="16"/>
                <w:szCs w:val="16"/>
              </w:rPr>
            </w:pPr>
            <w:r w:rsidRPr="00F749A5">
              <w:rPr>
                <w:rFonts w:ascii="Times New Roman" w:hAnsi="Times New Roman" w:cs="Times New Roman"/>
                <w:sz w:val="16"/>
                <w:szCs w:val="16"/>
              </w:rPr>
              <w:t>Gospodarstwa domowe 4-osobowe</w:t>
            </w:r>
          </w:p>
        </w:tc>
        <w:tc>
          <w:tcPr>
            <w:tcW w:w="2286"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338,0%</w:t>
            </w:r>
          </w:p>
        </w:tc>
        <w:tc>
          <w:tcPr>
            <w:tcW w:w="2247"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200,0%</w:t>
            </w:r>
          </w:p>
        </w:tc>
        <w:tc>
          <w:tcPr>
            <w:tcW w:w="2255"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240,0%</w:t>
            </w:r>
          </w:p>
        </w:tc>
      </w:tr>
      <w:tr w:rsidR="004C5BCC" w:rsidRPr="00F749A5" w:rsidTr="00AA1407">
        <w:trPr>
          <w:trHeight w:val="382"/>
        </w:trPr>
        <w:tc>
          <w:tcPr>
            <w:tcW w:w="2500" w:type="dxa"/>
            <w:vAlign w:val="center"/>
          </w:tcPr>
          <w:p w:rsidR="004C5BCC" w:rsidRPr="00F749A5" w:rsidRDefault="004C5BCC" w:rsidP="00AA1407">
            <w:pPr>
              <w:rPr>
                <w:rFonts w:ascii="Times New Roman" w:hAnsi="Times New Roman" w:cs="Times New Roman"/>
                <w:sz w:val="16"/>
                <w:szCs w:val="16"/>
              </w:rPr>
            </w:pPr>
            <w:r w:rsidRPr="00F749A5">
              <w:rPr>
                <w:rFonts w:ascii="Times New Roman" w:hAnsi="Times New Roman" w:cs="Times New Roman"/>
                <w:sz w:val="16"/>
                <w:szCs w:val="16"/>
              </w:rPr>
              <w:t>Gospodarstwa domowe 5-osobowe</w:t>
            </w:r>
          </w:p>
        </w:tc>
        <w:tc>
          <w:tcPr>
            <w:tcW w:w="2286"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390,0%</w:t>
            </w:r>
          </w:p>
        </w:tc>
        <w:tc>
          <w:tcPr>
            <w:tcW w:w="2247"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240,0%</w:t>
            </w:r>
          </w:p>
        </w:tc>
        <w:tc>
          <w:tcPr>
            <w:tcW w:w="2255" w:type="dxa"/>
            <w:vAlign w:val="center"/>
          </w:tcPr>
          <w:p w:rsidR="004C5BCC" w:rsidRPr="00F749A5" w:rsidRDefault="004C5BCC" w:rsidP="00AA1407">
            <w:pPr>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288,0%</w:t>
            </w:r>
          </w:p>
        </w:tc>
      </w:tr>
    </w:tbl>
    <w:p w:rsidR="004C5BCC" w:rsidRPr="00F749A5" w:rsidRDefault="004C5BCC" w:rsidP="004C5BCC">
      <w:pPr>
        <w:spacing w:after="0" w:line="240" w:lineRule="auto"/>
        <w:jc w:val="both"/>
        <w:rPr>
          <w:rFonts w:ascii="Times New Roman" w:eastAsia="Times New Roman" w:hAnsi="Times New Roman" w:cs="Times New Roman"/>
          <w:sz w:val="20"/>
          <w:szCs w:val="20"/>
          <w:lang w:eastAsia="pl-PL"/>
        </w:rPr>
      </w:pPr>
      <w:r w:rsidRPr="00F749A5">
        <w:rPr>
          <w:rFonts w:ascii="Times New Roman" w:eastAsia="Times New Roman" w:hAnsi="Times New Roman" w:cs="Times New Roman"/>
          <w:sz w:val="20"/>
          <w:szCs w:val="20"/>
          <w:lang w:eastAsia="pl-PL"/>
        </w:rPr>
        <w:t xml:space="preserve">Źródło: szacunki własne </w:t>
      </w:r>
      <w:proofErr w:type="spellStart"/>
      <w:r w:rsidRPr="00F749A5">
        <w:rPr>
          <w:rFonts w:ascii="Times New Roman" w:eastAsia="Times New Roman" w:hAnsi="Times New Roman" w:cs="Times New Roman"/>
          <w:sz w:val="20"/>
          <w:szCs w:val="20"/>
          <w:lang w:eastAsia="pl-PL"/>
        </w:rPr>
        <w:t>MIiR</w:t>
      </w:r>
      <w:proofErr w:type="spellEnd"/>
      <w:r w:rsidRPr="00F749A5">
        <w:rPr>
          <w:rFonts w:ascii="Times New Roman" w:eastAsia="Times New Roman" w:hAnsi="Times New Roman" w:cs="Times New Roman"/>
          <w:sz w:val="20"/>
          <w:szCs w:val="20"/>
          <w:lang w:eastAsia="pl-PL"/>
        </w:rPr>
        <w:t xml:space="preserve"> w oparciu o dane GUS</w:t>
      </w:r>
    </w:p>
    <w:p w:rsidR="004C5BCC" w:rsidRPr="00A67280" w:rsidRDefault="004C5BCC" w:rsidP="004C5BCC">
      <w:pPr>
        <w:spacing w:after="120" w:line="240" w:lineRule="exact"/>
        <w:jc w:val="both"/>
        <w:rPr>
          <w:rFonts w:eastAsia="Times New Roman" w:cs="Times New Roman"/>
          <w:lang w:eastAsia="pl-PL"/>
        </w:rPr>
      </w:pPr>
    </w:p>
    <w:p w:rsidR="001B2A2D" w:rsidRPr="00F749A5" w:rsidRDefault="004C5BCC" w:rsidP="00F749A5">
      <w:pPr>
        <w:spacing w:after="0" w:line="360" w:lineRule="auto"/>
        <w:jc w:val="both"/>
        <w:rPr>
          <w:rFonts w:ascii="Times New Roman" w:eastAsia="Times New Roman" w:hAnsi="Times New Roman" w:cs="Times New Roman"/>
          <w:sz w:val="24"/>
          <w:szCs w:val="24"/>
          <w:lang w:eastAsia="pl-PL"/>
        </w:rPr>
      </w:pPr>
      <w:r w:rsidRPr="00655511">
        <w:rPr>
          <w:rFonts w:ascii="Times New Roman" w:eastAsia="Times New Roman" w:hAnsi="Times New Roman" w:cs="Times New Roman"/>
          <w:sz w:val="24"/>
          <w:szCs w:val="24"/>
          <w:lang w:eastAsia="pl-PL"/>
        </w:rPr>
        <w:t>Proponowana korekta limitów dochodowych koresponduje z istotnym zaleceniem Banku Światowego,</w:t>
      </w:r>
      <w:r w:rsidR="00F749A5" w:rsidRPr="00655511">
        <w:rPr>
          <w:rFonts w:ascii="Times New Roman" w:eastAsia="Times New Roman" w:hAnsi="Times New Roman" w:cs="Times New Roman"/>
          <w:sz w:val="24"/>
          <w:szCs w:val="24"/>
          <w:lang w:eastAsia="pl-PL"/>
        </w:rPr>
        <w:t xml:space="preserve"> </w:t>
      </w:r>
      <w:r w:rsidRPr="00655511">
        <w:rPr>
          <w:rFonts w:ascii="Times New Roman" w:eastAsia="Times New Roman" w:hAnsi="Times New Roman" w:cs="Times New Roman"/>
          <w:sz w:val="24"/>
          <w:szCs w:val="24"/>
          <w:lang w:eastAsia="pl-PL"/>
        </w:rPr>
        <w:t>sformułowanym w ramach ewaluacji programu preferencyjnych kredytów udzielanych ze środków b. KFM. Wnioski z przeprowadzonego w 2009 r. badania wskazywały na uzasadnienie dla rozróżnienia – w ramach wprowadzanych zmian ustawowych dotyczących TBS</w:t>
      </w:r>
      <w:r w:rsidR="00480349" w:rsidRPr="00655511">
        <w:rPr>
          <w:rFonts w:ascii="Times New Roman" w:eastAsia="Times New Roman" w:hAnsi="Times New Roman" w:cs="Times New Roman"/>
          <w:sz w:val="24"/>
          <w:szCs w:val="24"/>
          <w:lang w:eastAsia="pl-PL"/>
        </w:rPr>
        <w:t>-ów</w:t>
      </w:r>
      <w:r w:rsidRPr="00655511">
        <w:rPr>
          <w:rFonts w:ascii="Times New Roman" w:eastAsia="Times New Roman" w:hAnsi="Times New Roman" w:cs="Times New Roman"/>
          <w:sz w:val="24"/>
          <w:szCs w:val="24"/>
          <w:lang w:eastAsia="pl-PL"/>
        </w:rPr>
        <w:t xml:space="preserve"> – dwóch odrębnych kategorii przyszłej działalności towarzystw (zarówno pod względem zasad działania, jak również zasad i warunków dostępu do wsparcia publicznego</w:t>
      </w:r>
      <w:r w:rsidRPr="00F749A5">
        <w:rPr>
          <w:rFonts w:ascii="Times New Roman" w:eastAsia="Times New Roman" w:hAnsi="Times New Roman" w:cs="Times New Roman"/>
          <w:sz w:val="24"/>
          <w:szCs w:val="24"/>
          <w:lang w:eastAsia="pl-PL"/>
        </w:rPr>
        <w:t>). W ocenie ekspertów BŚ, zmodyfikowany w przyszłości program wspierający budowę społecznych mieszkań czynszowych o zwiększonym lub docelowo jedynym zaangażowaniu wsparcia publicznego (zwiększone wsparcie z budżetu państwa, również większe zaangażowanie kapitałowe ze strony gmin w celu wyeliminowania lub znaczącego ograniczenia partycypacji własnej najemców) powinien koncentrować działalność TBS</w:t>
      </w:r>
      <w:r w:rsidR="00480349" w:rsidRPr="00F749A5">
        <w:rPr>
          <w:rFonts w:ascii="Times New Roman" w:eastAsia="Times New Roman" w:hAnsi="Times New Roman" w:cs="Times New Roman"/>
          <w:sz w:val="24"/>
          <w:szCs w:val="24"/>
          <w:lang w:eastAsia="pl-PL"/>
        </w:rPr>
        <w:t>-ów</w:t>
      </w:r>
      <w:r w:rsidRPr="00F749A5">
        <w:rPr>
          <w:rFonts w:ascii="Times New Roman" w:eastAsia="Times New Roman" w:hAnsi="Times New Roman" w:cs="Times New Roman"/>
          <w:sz w:val="24"/>
          <w:szCs w:val="24"/>
          <w:lang w:eastAsia="pl-PL"/>
        </w:rPr>
        <w:t xml:space="preserve"> przede wszystkim na segmencie mieszkań adresowanych do osób o niższym poziomie dochodów. Proponowana zmiana zakładająca obniżenie górnego limitu dochodów gospodarstwa domowego, uprawniających do zawarcia umowy najmu mieszkania wybudowanego w ramach rządowego programu wsparcia w ocenie projektodawcy koresponduje z tym zaleceniem.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53"/>
      </w:tblGrid>
      <w:tr w:rsidR="004C5BCC" w:rsidRPr="008D10D8" w:rsidTr="00AA1407">
        <w:tc>
          <w:tcPr>
            <w:tcW w:w="959" w:type="dxa"/>
          </w:tcPr>
          <w:p w:rsidR="004C5BCC" w:rsidRPr="008D10D8" w:rsidRDefault="004C5BCC" w:rsidP="00F749A5">
            <w:pPr>
              <w:spacing w:line="360" w:lineRule="auto"/>
              <w:jc w:val="both"/>
              <w:rPr>
                <w:rFonts w:ascii="Times New Roman" w:eastAsia="Times New Roman" w:hAnsi="Times New Roman" w:cs="Times New Roman"/>
                <w:sz w:val="24"/>
                <w:szCs w:val="24"/>
                <w:lang w:eastAsia="pl-PL"/>
              </w:rPr>
            </w:pPr>
            <w:r w:rsidRPr="008D10D8">
              <w:rPr>
                <w:rFonts w:ascii="Times New Roman" w:eastAsia="Times New Roman" w:hAnsi="Times New Roman" w:cs="Times New Roman"/>
                <w:sz w:val="24"/>
                <w:szCs w:val="24"/>
                <w:lang w:eastAsia="pl-PL"/>
              </w:rPr>
              <w:t>Ad 2.</w:t>
            </w:r>
          </w:p>
        </w:tc>
        <w:tc>
          <w:tcPr>
            <w:tcW w:w="8253" w:type="dxa"/>
          </w:tcPr>
          <w:p w:rsidR="004C5BCC" w:rsidRPr="008D10D8" w:rsidRDefault="004C5BCC" w:rsidP="00F749A5">
            <w:pPr>
              <w:spacing w:line="360" w:lineRule="auto"/>
              <w:jc w:val="both"/>
              <w:rPr>
                <w:rFonts w:ascii="Times New Roman" w:eastAsia="Times New Roman" w:hAnsi="Times New Roman" w:cs="Times New Roman"/>
                <w:spacing w:val="4"/>
                <w:sz w:val="24"/>
                <w:szCs w:val="24"/>
                <w:lang w:eastAsia="pl-PL"/>
              </w:rPr>
            </w:pPr>
            <w:r w:rsidRPr="008D10D8">
              <w:rPr>
                <w:rFonts w:ascii="Times New Roman" w:eastAsia="Times New Roman" w:hAnsi="Times New Roman" w:cs="Times New Roman"/>
                <w:sz w:val="24"/>
                <w:szCs w:val="24"/>
                <w:lang w:eastAsia="pl-PL"/>
              </w:rPr>
              <w:t xml:space="preserve">Zmiana wskaźnika GUS, będącego punktem odniesienia dla ustalenia wysokości limitów dochodowych – </w:t>
            </w:r>
            <w:r w:rsidRPr="008D10D8">
              <w:rPr>
                <w:rFonts w:ascii="Times New Roman" w:eastAsia="Times New Roman" w:hAnsi="Times New Roman" w:cs="Times New Roman"/>
                <w:b/>
                <w:sz w:val="24"/>
                <w:szCs w:val="24"/>
                <w:lang w:eastAsia="pl-PL"/>
              </w:rPr>
              <w:t>art. 30 ust. 2</w:t>
            </w:r>
          </w:p>
        </w:tc>
      </w:tr>
    </w:tbl>
    <w:p w:rsidR="004C5BCC" w:rsidRPr="00F749A5" w:rsidRDefault="004C5BCC" w:rsidP="00F749A5">
      <w:pPr>
        <w:spacing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Zgodnie z art. 30 ust. 2 ustawy, w aktualnym stanie prawnym Prezes Głównego Urzędu Statystycznego jest zobowiązany do ogłaszania co pół roku (w pierwszym i trzecim kwartale danego roku), w Dzienniku Urzęd</w:t>
      </w:r>
      <w:r w:rsidR="008D10D8">
        <w:rPr>
          <w:rFonts w:ascii="Times New Roman" w:eastAsia="Times New Roman" w:hAnsi="Times New Roman" w:cs="Times New Roman"/>
          <w:sz w:val="24"/>
          <w:szCs w:val="24"/>
          <w:lang w:eastAsia="pl-PL"/>
        </w:rPr>
        <w:t>owym Rzeczypospolitej Polskiej „</w:t>
      </w:r>
      <w:r w:rsidRPr="00F749A5">
        <w:rPr>
          <w:rFonts w:ascii="Times New Roman" w:eastAsia="Times New Roman" w:hAnsi="Times New Roman" w:cs="Times New Roman"/>
          <w:sz w:val="24"/>
          <w:szCs w:val="24"/>
          <w:lang w:eastAsia="pl-PL"/>
        </w:rPr>
        <w:t>Monitor Polski</w:t>
      </w:r>
      <w:r w:rsidR="008D10D8">
        <w:rPr>
          <w:rFonts w:ascii="Times New Roman" w:eastAsia="Times New Roman" w:hAnsi="Times New Roman" w:cs="Times New Roman"/>
          <w:sz w:val="24"/>
          <w:szCs w:val="24"/>
          <w:lang w:eastAsia="pl-PL"/>
        </w:rPr>
        <w:t>”</w:t>
      </w:r>
      <w:r w:rsidRPr="00F749A5">
        <w:rPr>
          <w:rFonts w:ascii="Times New Roman" w:eastAsia="Times New Roman" w:hAnsi="Times New Roman" w:cs="Times New Roman"/>
          <w:sz w:val="24"/>
          <w:szCs w:val="24"/>
          <w:lang w:eastAsia="pl-PL"/>
        </w:rPr>
        <w:t xml:space="preserve">, informacji o wysokości przeciętnego miesięcznego wynagrodzenia w województwach. Wskazany obowiązek publikacyjny został nałożony na Prezesa GUS w okresie uchwalenia </w:t>
      </w:r>
      <w:r w:rsidRPr="008D10D8">
        <w:rPr>
          <w:rFonts w:ascii="Times New Roman" w:eastAsia="Times New Roman" w:hAnsi="Times New Roman" w:cs="Times New Roman"/>
          <w:sz w:val="24"/>
          <w:szCs w:val="24"/>
          <w:lang w:eastAsia="pl-PL"/>
        </w:rPr>
        <w:lastRenderedPageBreak/>
        <w:t xml:space="preserve">przepisów ustawy </w:t>
      </w:r>
      <w:r w:rsidR="00795EAD">
        <w:rPr>
          <w:rFonts w:ascii="Times New Roman" w:eastAsia="Times New Roman" w:hAnsi="Times New Roman" w:cs="Times New Roman"/>
          <w:sz w:val="24"/>
          <w:szCs w:val="24"/>
          <w:lang w:eastAsia="pl-PL"/>
        </w:rPr>
        <w:t xml:space="preserve">z </w:t>
      </w:r>
      <w:r w:rsidRPr="008D10D8">
        <w:rPr>
          <w:rFonts w:ascii="Times New Roman" w:eastAsia="Times New Roman" w:hAnsi="Times New Roman" w:cs="Times New Roman"/>
          <w:sz w:val="24"/>
          <w:szCs w:val="24"/>
          <w:lang w:eastAsia="pl-PL"/>
        </w:rPr>
        <w:t xml:space="preserve">dnia 27 października 1995 r. </w:t>
      </w:r>
      <w:r w:rsidR="00795EAD">
        <w:rPr>
          <w:rFonts w:ascii="Times New Roman" w:eastAsia="Times New Roman" w:hAnsi="Times New Roman" w:cs="Times New Roman"/>
          <w:sz w:val="24"/>
          <w:szCs w:val="24"/>
          <w:lang w:eastAsia="pl-PL"/>
        </w:rPr>
        <w:t xml:space="preserve">o </w:t>
      </w:r>
      <w:r w:rsidRPr="008D10D8">
        <w:rPr>
          <w:rFonts w:ascii="Times New Roman" w:eastAsia="Times New Roman" w:hAnsi="Times New Roman" w:cs="Times New Roman"/>
          <w:sz w:val="24"/>
          <w:szCs w:val="24"/>
          <w:lang w:eastAsia="pl-PL"/>
        </w:rPr>
        <w:t>niektórych formach popierania budownictwa mieszkaniowego. Biorąc pod uwagę zachodzące od tego czasu zmiany uwarunkowań gospodarczych (wskazane w art. 30 ust. 2 ustawy wyłączenie z podstawy wymiaru dochodów „wypłat z zysku lub nadwyżki bilansowej w spółdzielniach, z uwzględnieniem sfery</w:t>
      </w:r>
      <w:r w:rsidRPr="00F749A5">
        <w:rPr>
          <w:rFonts w:ascii="Times New Roman" w:eastAsia="Times New Roman" w:hAnsi="Times New Roman" w:cs="Times New Roman"/>
          <w:sz w:val="24"/>
          <w:szCs w:val="24"/>
          <w:lang w:eastAsia="pl-PL"/>
        </w:rPr>
        <w:t xml:space="preserve"> budżetowej bez dodatkowych wynagrodzeń rocznych, bez Poczty Polskiej Spółki Akcyjnej i Telekomunikacji Polskiej - Spółka Akcyjna” straciło swoją aktualność i nie ma obecnie większego uzasadnienia), jak również podlegający zmianom zakres badań prowadzonych w ramach systemu statystyki publicznej, w projekcie ustawy zaproponowana została modyfikacja podstawy stanowiącej odniesienie dla określenia wysokości górnego limitu dochodów, o których mowa w art. 30 ust. 1 pkt 2.</w:t>
      </w:r>
    </w:p>
    <w:p w:rsidR="004C5BCC" w:rsidRPr="00F749A5" w:rsidRDefault="004C5BCC" w:rsidP="00F749A5">
      <w:pPr>
        <w:spacing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 xml:space="preserve">Proponuje się, aby podstawą porównawczą, do której </w:t>
      </w:r>
      <w:r w:rsidR="00795EAD" w:rsidRPr="00F749A5">
        <w:rPr>
          <w:rFonts w:ascii="Times New Roman" w:eastAsia="Times New Roman" w:hAnsi="Times New Roman" w:cs="Times New Roman"/>
          <w:sz w:val="24"/>
          <w:szCs w:val="24"/>
          <w:lang w:eastAsia="pl-PL"/>
        </w:rPr>
        <w:t xml:space="preserve">będą się </w:t>
      </w:r>
      <w:r w:rsidRPr="00F749A5">
        <w:rPr>
          <w:rFonts w:ascii="Times New Roman" w:eastAsia="Times New Roman" w:hAnsi="Times New Roman" w:cs="Times New Roman"/>
          <w:sz w:val="24"/>
          <w:szCs w:val="24"/>
          <w:lang w:eastAsia="pl-PL"/>
        </w:rPr>
        <w:t>odnosiły limity dochodów, był wskaźnik ogłaszany przez Główny Urząd Statystyczny na analogicznych zasadach jak ogólnokrajowy wskaźnik określający przeciętne wynagrodzenie miesięczne brutto w gospodarce narodowej, który obecnie jest ogłaszany przez GUS na podstawie art. 4 pkt 9 ustawy z dnia 17 grudnia 1998 r. o emeryturach i rentach z Funduszu Ubezpieczeń Społecznych (Dz. U. z 2013 r. poz. 1440). Proponowany wskaźnik stanowiłby jednolitą podstawę, wyznaczając limity dochodowe adresowania społecznych mieszkań czynszowych zarówno w nowym programie wsparcia, jak również w odniesieniu do użytkowania mieszkań wybudowanych w ramach programu realizowanego do 2009 r. w oparciu o środki b.</w:t>
      </w:r>
      <w:r w:rsidR="008D10D8">
        <w:rPr>
          <w:rFonts w:ascii="Times New Roman" w:eastAsia="Times New Roman" w:hAnsi="Times New Roman" w:cs="Times New Roman"/>
          <w:sz w:val="24"/>
          <w:szCs w:val="24"/>
          <w:lang w:eastAsia="pl-PL"/>
        </w:rPr>
        <w:t> </w:t>
      </w:r>
      <w:r w:rsidRPr="00F749A5">
        <w:rPr>
          <w:rFonts w:ascii="Times New Roman" w:eastAsia="Times New Roman" w:hAnsi="Times New Roman" w:cs="Times New Roman"/>
          <w:sz w:val="24"/>
          <w:szCs w:val="24"/>
          <w:lang w:eastAsia="pl-PL"/>
        </w:rPr>
        <w:t xml:space="preserve">Krajowego Funduszu Mieszkaniowego w BGK. </w:t>
      </w:r>
    </w:p>
    <w:p w:rsidR="004C5BCC" w:rsidRPr="00F749A5" w:rsidRDefault="004C5BCC" w:rsidP="00F749A5">
      <w:pPr>
        <w:spacing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 xml:space="preserve">Ponadto zakłada się, że nowy wskaźnik: </w:t>
      </w:r>
    </w:p>
    <w:p w:rsidR="004C5BCC" w:rsidRPr="00F749A5" w:rsidRDefault="004C5BCC" w:rsidP="00655511">
      <w:pPr>
        <w:numPr>
          <w:ilvl w:val="0"/>
          <w:numId w:val="25"/>
        </w:numPr>
        <w:spacing w:after="0" w:line="360" w:lineRule="auto"/>
        <w:ind w:left="360"/>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zastąpi wskaźnik ogłaszany przez GUS w ramach aktualnych zobowiązań ustawowych – przeciętne wynagrodzenie miesięczne brutto w gospodarce narodowej byłoby ogłaszane również dla poszczególnych województw</w:t>
      </w:r>
      <w:r w:rsidR="00795EAD">
        <w:rPr>
          <w:rFonts w:ascii="Times New Roman" w:eastAsia="Times New Roman" w:hAnsi="Times New Roman" w:cs="Times New Roman"/>
          <w:sz w:val="24"/>
          <w:szCs w:val="24"/>
          <w:lang w:eastAsia="pl-PL"/>
        </w:rPr>
        <w:t>,</w:t>
      </w:r>
    </w:p>
    <w:p w:rsidR="004C5BCC" w:rsidRPr="00F749A5" w:rsidRDefault="004C5BCC" w:rsidP="00655511">
      <w:pPr>
        <w:numPr>
          <w:ilvl w:val="0"/>
          <w:numId w:val="25"/>
        </w:numPr>
        <w:spacing w:after="0" w:line="360" w:lineRule="auto"/>
        <w:ind w:left="360"/>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będzie redukował częstotliwość obowiązków publikacyjnych GUS – w stosunku do obecnie obowiązujących przepisów wskaźnik ogłaszany byłby raz w roku, a nie dwa razy w roku; dane dotyczące wynagrodzenia miesięczne</w:t>
      </w:r>
      <w:r w:rsidR="00795EAD">
        <w:rPr>
          <w:rFonts w:ascii="Times New Roman" w:eastAsia="Times New Roman" w:hAnsi="Times New Roman" w:cs="Times New Roman"/>
          <w:sz w:val="24"/>
          <w:szCs w:val="24"/>
          <w:lang w:eastAsia="pl-PL"/>
        </w:rPr>
        <w:t>go</w:t>
      </w:r>
      <w:r w:rsidRPr="00F749A5">
        <w:rPr>
          <w:rFonts w:ascii="Times New Roman" w:eastAsia="Times New Roman" w:hAnsi="Times New Roman" w:cs="Times New Roman"/>
          <w:sz w:val="24"/>
          <w:szCs w:val="24"/>
          <w:lang w:eastAsia="pl-PL"/>
        </w:rPr>
        <w:t xml:space="preserve"> brutto w gospodarce narodowej ogłaszane byłyby dla danego roku; dodatkowym uzasadnieniem takiego przes</w:t>
      </w:r>
      <w:r w:rsidR="00A57591" w:rsidRPr="00F749A5">
        <w:rPr>
          <w:rFonts w:ascii="Times New Roman" w:eastAsia="Times New Roman" w:hAnsi="Times New Roman" w:cs="Times New Roman"/>
          <w:sz w:val="24"/>
          <w:szCs w:val="24"/>
          <w:lang w:eastAsia="pl-PL"/>
        </w:rPr>
        <w:t>ą</w:t>
      </w:r>
      <w:r w:rsidRPr="00F749A5">
        <w:rPr>
          <w:rFonts w:ascii="Times New Roman" w:eastAsia="Times New Roman" w:hAnsi="Times New Roman" w:cs="Times New Roman"/>
          <w:sz w:val="24"/>
          <w:szCs w:val="24"/>
          <w:lang w:eastAsia="pl-PL"/>
        </w:rPr>
        <w:t>dzenia jest fakt, że dane dotyczące wynagrodzeń wykazują mniejszą zmienność rok do roku niż w poszczególnych kwartałach danego roku, co jest związane z sezonowością wypłat niektórych składników wynagrodzenia</w:t>
      </w:r>
      <w:r w:rsidR="00795EAD">
        <w:rPr>
          <w:rFonts w:ascii="Times New Roman" w:eastAsia="Times New Roman" w:hAnsi="Times New Roman" w:cs="Times New Roman"/>
          <w:sz w:val="24"/>
          <w:szCs w:val="24"/>
          <w:lang w:eastAsia="pl-PL"/>
        </w:rPr>
        <w:t>,</w:t>
      </w:r>
    </w:p>
    <w:p w:rsidR="004C5BCC" w:rsidRPr="00F749A5" w:rsidRDefault="004C5BCC" w:rsidP="00655511">
      <w:pPr>
        <w:numPr>
          <w:ilvl w:val="0"/>
          <w:numId w:val="25"/>
        </w:numPr>
        <w:spacing w:after="0" w:line="360" w:lineRule="auto"/>
        <w:ind w:left="354" w:hanging="357"/>
        <w:contextualSpacing/>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ogłaszany byłby w formie komunikatu Prezesa GUS do końca I</w:t>
      </w:r>
      <w:r w:rsidR="002B7BCF" w:rsidRPr="00F749A5">
        <w:rPr>
          <w:rFonts w:ascii="Times New Roman" w:eastAsia="Times New Roman" w:hAnsi="Times New Roman" w:cs="Times New Roman"/>
          <w:sz w:val="24"/>
          <w:szCs w:val="24"/>
          <w:lang w:eastAsia="pl-PL"/>
        </w:rPr>
        <w:t>V</w:t>
      </w:r>
      <w:r w:rsidRPr="00F749A5">
        <w:rPr>
          <w:rFonts w:ascii="Times New Roman" w:eastAsia="Times New Roman" w:hAnsi="Times New Roman" w:cs="Times New Roman"/>
          <w:sz w:val="24"/>
          <w:szCs w:val="24"/>
          <w:lang w:eastAsia="pl-PL"/>
        </w:rPr>
        <w:t xml:space="preserve"> kwartału roku następnego.</w:t>
      </w:r>
    </w:p>
    <w:p w:rsidR="00DB7FC2" w:rsidRPr="00F749A5" w:rsidRDefault="00DB7FC2" w:rsidP="00F749A5">
      <w:pPr>
        <w:spacing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lastRenderedPageBreak/>
        <w:t>W związku ze zmianą wprowadzoną w art. 30 ust. 2 ustawy o niektórych formach</w:t>
      </w:r>
      <w:r w:rsidR="00795EAD">
        <w:rPr>
          <w:rFonts w:ascii="Times New Roman" w:eastAsia="Times New Roman" w:hAnsi="Times New Roman" w:cs="Times New Roman"/>
          <w:sz w:val="24"/>
          <w:szCs w:val="24"/>
          <w:lang w:eastAsia="pl-PL"/>
        </w:rPr>
        <w:t xml:space="preserve"> </w:t>
      </w:r>
      <w:r w:rsidRPr="00F749A5">
        <w:rPr>
          <w:rFonts w:ascii="Times New Roman" w:eastAsia="Times New Roman" w:hAnsi="Times New Roman" w:cs="Times New Roman"/>
          <w:sz w:val="24"/>
          <w:szCs w:val="24"/>
          <w:lang w:eastAsia="pl-PL"/>
        </w:rPr>
        <w:t xml:space="preserve">… </w:t>
      </w:r>
      <w:r w:rsidRPr="00F749A5">
        <w:rPr>
          <w:rFonts w:ascii="Times New Roman" w:eastAsia="Times New Roman" w:hAnsi="Times New Roman" w:cs="Times New Roman"/>
          <w:b/>
          <w:sz w:val="24"/>
          <w:szCs w:val="24"/>
          <w:lang w:eastAsia="pl-PL"/>
        </w:rPr>
        <w:t xml:space="preserve">w art. 4 </w:t>
      </w:r>
      <w:r w:rsidRPr="00F749A5">
        <w:rPr>
          <w:rFonts w:ascii="Times New Roman" w:eastAsia="Times New Roman" w:hAnsi="Times New Roman" w:cs="Times New Roman"/>
          <w:sz w:val="24"/>
          <w:szCs w:val="24"/>
          <w:lang w:eastAsia="pl-PL"/>
        </w:rPr>
        <w:t>projektu zawarta została korespondująca propozycja zmiany art. 90 ust. 7 ustawy z dn</w:t>
      </w:r>
      <w:r w:rsidR="00AD297B">
        <w:rPr>
          <w:rFonts w:ascii="Times New Roman" w:eastAsia="Times New Roman" w:hAnsi="Times New Roman" w:cs="Times New Roman"/>
          <w:sz w:val="24"/>
          <w:szCs w:val="24"/>
          <w:lang w:eastAsia="pl-PL"/>
        </w:rPr>
        <w:t>ia</w:t>
      </w:r>
      <w:r w:rsidRPr="00F749A5">
        <w:rPr>
          <w:rFonts w:ascii="Times New Roman" w:eastAsia="Times New Roman" w:hAnsi="Times New Roman" w:cs="Times New Roman"/>
          <w:sz w:val="24"/>
          <w:szCs w:val="24"/>
          <w:lang w:eastAsia="pl-PL"/>
        </w:rPr>
        <w:t xml:space="preserve"> 20</w:t>
      </w:r>
      <w:r w:rsidR="008D10D8">
        <w:rPr>
          <w:rFonts w:ascii="Times New Roman" w:eastAsia="Times New Roman" w:hAnsi="Times New Roman" w:cs="Times New Roman"/>
          <w:sz w:val="24"/>
          <w:szCs w:val="24"/>
          <w:lang w:eastAsia="pl-PL"/>
        </w:rPr>
        <w:t> </w:t>
      </w:r>
      <w:r w:rsidRPr="00F749A5">
        <w:rPr>
          <w:rFonts w:ascii="Times New Roman" w:eastAsia="Times New Roman" w:hAnsi="Times New Roman" w:cs="Times New Roman"/>
          <w:sz w:val="24"/>
          <w:szCs w:val="24"/>
          <w:lang w:eastAsia="pl-PL"/>
        </w:rPr>
        <w:t xml:space="preserve">kwietnia 2004 r. o promocji zatrudnienia i instytucjach rynku pracy, </w:t>
      </w:r>
      <w:r w:rsidR="00483419" w:rsidRPr="00F749A5">
        <w:rPr>
          <w:rFonts w:ascii="Times New Roman" w:eastAsia="Times New Roman" w:hAnsi="Times New Roman" w:cs="Times New Roman"/>
          <w:sz w:val="24"/>
          <w:szCs w:val="24"/>
          <w:lang w:eastAsia="pl-PL"/>
        </w:rPr>
        <w:t>przewidująca</w:t>
      </w:r>
      <w:r w:rsidRPr="00F749A5">
        <w:rPr>
          <w:rFonts w:ascii="Times New Roman" w:eastAsia="Times New Roman" w:hAnsi="Times New Roman" w:cs="Times New Roman"/>
          <w:sz w:val="24"/>
          <w:szCs w:val="24"/>
          <w:lang w:eastAsia="pl-PL"/>
        </w:rPr>
        <w:t xml:space="preserve"> dostosowani</w:t>
      </w:r>
      <w:r w:rsidR="00483419" w:rsidRPr="00F749A5">
        <w:rPr>
          <w:rFonts w:ascii="Times New Roman" w:eastAsia="Times New Roman" w:hAnsi="Times New Roman" w:cs="Times New Roman"/>
          <w:sz w:val="24"/>
          <w:szCs w:val="24"/>
          <w:lang w:eastAsia="pl-PL"/>
        </w:rPr>
        <w:t>e</w:t>
      </w:r>
      <w:r w:rsidRPr="00F749A5">
        <w:rPr>
          <w:rFonts w:ascii="Times New Roman" w:eastAsia="Times New Roman" w:hAnsi="Times New Roman" w:cs="Times New Roman"/>
          <w:sz w:val="24"/>
          <w:szCs w:val="24"/>
          <w:lang w:eastAsia="pl-PL"/>
        </w:rPr>
        <w:t xml:space="preserve"> określonej w tym przepisie delegacji do zmodyfikowanych zobowiązań publikacyjnych Głównego Urzędu Statystycznego</w:t>
      </w:r>
      <w:r w:rsidR="00483419" w:rsidRPr="00F749A5">
        <w:rPr>
          <w:rFonts w:ascii="Times New Roman" w:eastAsia="Times New Roman" w:hAnsi="Times New Roman" w:cs="Times New Roman"/>
          <w:sz w:val="24"/>
          <w:szCs w:val="24"/>
          <w:lang w:eastAsia="pl-PL"/>
        </w:rPr>
        <w:t xml:space="preserve"> wynikających z art. 30 ust. 2 ustawy. O</w:t>
      </w:r>
      <w:r w:rsidR="0093027B" w:rsidRPr="00F749A5">
        <w:rPr>
          <w:rFonts w:ascii="Times New Roman" w:eastAsia="Times New Roman" w:hAnsi="Times New Roman" w:cs="Times New Roman"/>
          <w:sz w:val="24"/>
          <w:szCs w:val="24"/>
          <w:lang w:eastAsia="pl-PL"/>
        </w:rPr>
        <w:t xml:space="preserve">ba wskazane przepisy ww. aktów prawnych zawierają </w:t>
      </w:r>
      <w:r w:rsidR="00483419" w:rsidRPr="00F749A5">
        <w:rPr>
          <w:rFonts w:ascii="Times New Roman" w:eastAsia="Times New Roman" w:hAnsi="Times New Roman" w:cs="Times New Roman"/>
          <w:sz w:val="24"/>
          <w:szCs w:val="24"/>
          <w:lang w:eastAsia="pl-PL"/>
        </w:rPr>
        <w:t xml:space="preserve">obecnie </w:t>
      </w:r>
      <w:r w:rsidR="0093027B" w:rsidRPr="00F749A5">
        <w:rPr>
          <w:rFonts w:ascii="Times New Roman" w:eastAsia="Times New Roman" w:hAnsi="Times New Roman" w:cs="Times New Roman"/>
          <w:sz w:val="24"/>
          <w:szCs w:val="24"/>
          <w:lang w:eastAsia="pl-PL"/>
        </w:rPr>
        <w:t>tożs</w:t>
      </w:r>
      <w:r w:rsidR="00483419" w:rsidRPr="00F749A5">
        <w:rPr>
          <w:rFonts w:ascii="Times New Roman" w:eastAsia="Times New Roman" w:hAnsi="Times New Roman" w:cs="Times New Roman"/>
          <w:sz w:val="24"/>
          <w:szCs w:val="24"/>
          <w:lang w:eastAsia="pl-PL"/>
        </w:rPr>
        <w:t>ame z</w:t>
      </w:r>
      <w:r w:rsidR="0093027B" w:rsidRPr="00F749A5">
        <w:rPr>
          <w:rFonts w:ascii="Times New Roman" w:eastAsia="Times New Roman" w:hAnsi="Times New Roman" w:cs="Times New Roman"/>
          <w:sz w:val="24"/>
          <w:szCs w:val="24"/>
          <w:lang w:eastAsia="pl-PL"/>
        </w:rPr>
        <w:t>obowiąz</w:t>
      </w:r>
      <w:r w:rsidR="00483419" w:rsidRPr="00F749A5">
        <w:rPr>
          <w:rFonts w:ascii="Times New Roman" w:eastAsia="Times New Roman" w:hAnsi="Times New Roman" w:cs="Times New Roman"/>
          <w:sz w:val="24"/>
          <w:szCs w:val="24"/>
          <w:lang w:eastAsia="pl-PL"/>
        </w:rPr>
        <w:t>anie spoczywające na</w:t>
      </w:r>
      <w:r w:rsidR="0093027B" w:rsidRPr="00F749A5">
        <w:rPr>
          <w:rFonts w:ascii="Times New Roman" w:eastAsia="Times New Roman" w:hAnsi="Times New Roman" w:cs="Times New Roman"/>
          <w:sz w:val="24"/>
          <w:szCs w:val="24"/>
          <w:lang w:eastAsia="pl-PL"/>
        </w:rPr>
        <w:t xml:space="preserve"> </w:t>
      </w:r>
      <w:r w:rsidR="00483419" w:rsidRPr="00F749A5">
        <w:rPr>
          <w:rFonts w:ascii="Times New Roman" w:eastAsia="Times New Roman" w:hAnsi="Times New Roman" w:cs="Times New Roman"/>
          <w:sz w:val="24"/>
          <w:szCs w:val="24"/>
          <w:lang w:eastAsia="pl-PL"/>
        </w:rPr>
        <w:t xml:space="preserve">Prezesie </w:t>
      </w:r>
      <w:r w:rsidR="0093027B" w:rsidRPr="00F749A5">
        <w:rPr>
          <w:rFonts w:ascii="Times New Roman" w:eastAsia="Times New Roman" w:hAnsi="Times New Roman" w:cs="Times New Roman"/>
          <w:sz w:val="24"/>
          <w:szCs w:val="24"/>
          <w:lang w:eastAsia="pl-PL"/>
        </w:rPr>
        <w:t>GUS</w:t>
      </w:r>
      <w:r w:rsidRPr="00F749A5">
        <w:rPr>
          <w:rFonts w:ascii="Times New Roman" w:eastAsia="Times New Roman" w:hAnsi="Times New Roman" w:cs="Times New Roman"/>
          <w:sz w:val="24"/>
          <w:szCs w:val="24"/>
          <w:lang w:eastAsia="pl-PL"/>
        </w:rPr>
        <w:t>.</w:t>
      </w:r>
      <w:r w:rsidR="0093027B" w:rsidRPr="00F749A5">
        <w:rPr>
          <w:rFonts w:ascii="Times New Roman" w:eastAsia="Times New Roman" w:hAnsi="Times New Roman" w:cs="Times New Roman"/>
          <w:sz w:val="24"/>
          <w:szCs w:val="24"/>
          <w:lang w:eastAsia="pl-PL"/>
        </w:rPr>
        <w:t xml:space="preserve"> </w:t>
      </w:r>
      <w:r w:rsidR="00483419" w:rsidRPr="00F749A5">
        <w:rPr>
          <w:rFonts w:ascii="Times New Roman" w:eastAsia="Times New Roman" w:hAnsi="Times New Roman" w:cs="Times New Roman"/>
          <w:sz w:val="24"/>
          <w:szCs w:val="24"/>
          <w:lang w:eastAsia="pl-PL"/>
        </w:rPr>
        <w:t>Mając na uwadze uproszczenie obowiązujących przepisów</w:t>
      </w:r>
      <w:r w:rsidR="00AD297B">
        <w:rPr>
          <w:rFonts w:ascii="Times New Roman" w:eastAsia="Times New Roman" w:hAnsi="Times New Roman" w:cs="Times New Roman"/>
          <w:sz w:val="24"/>
          <w:szCs w:val="24"/>
          <w:lang w:eastAsia="pl-PL"/>
        </w:rPr>
        <w:t>,</w:t>
      </w:r>
      <w:r w:rsidR="00483419" w:rsidRPr="00F749A5">
        <w:rPr>
          <w:rFonts w:ascii="Times New Roman" w:eastAsia="Times New Roman" w:hAnsi="Times New Roman" w:cs="Times New Roman"/>
          <w:sz w:val="24"/>
          <w:szCs w:val="24"/>
          <w:lang w:eastAsia="pl-PL"/>
        </w:rPr>
        <w:t xml:space="preserve"> proponowana w tym przypadku zmiana </w:t>
      </w:r>
      <w:r w:rsidR="0093027B" w:rsidRPr="00F749A5">
        <w:rPr>
          <w:rFonts w:ascii="Times New Roman" w:eastAsia="Times New Roman" w:hAnsi="Times New Roman" w:cs="Times New Roman"/>
          <w:sz w:val="24"/>
          <w:szCs w:val="24"/>
          <w:lang w:eastAsia="pl-PL"/>
        </w:rPr>
        <w:t>korespond</w:t>
      </w:r>
      <w:r w:rsidR="001F3592" w:rsidRPr="00F749A5">
        <w:rPr>
          <w:rFonts w:ascii="Times New Roman" w:eastAsia="Times New Roman" w:hAnsi="Times New Roman" w:cs="Times New Roman"/>
          <w:sz w:val="24"/>
          <w:szCs w:val="24"/>
          <w:lang w:eastAsia="pl-PL"/>
        </w:rPr>
        <w:t>uje</w:t>
      </w:r>
      <w:r w:rsidR="00483419" w:rsidRPr="00F749A5">
        <w:rPr>
          <w:rFonts w:ascii="Times New Roman" w:eastAsia="Times New Roman" w:hAnsi="Times New Roman" w:cs="Times New Roman"/>
          <w:sz w:val="24"/>
          <w:szCs w:val="24"/>
          <w:lang w:eastAsia="pl-PL"/>
        </w:rPr>
        <w:t xml:space="preserve"> </w:t>
      </w:r>
      <w:r w:rsidR="0093027B" w:rsidRPr="00F749A5">
        <w:rPr>
          <w:rFonts w:ascii="Times New Roman" w:eastAsia="Times New Roman" w:hAnsi="Times New Roman" w:cs="Times New Roman"/>
          <w:sz w:val="24"/>
          <w:szCs w:val="24"/>
          <w:lang w:eastAsia="pl-PL"/>
        </w:rPr>
        <w:t>z rekomen</w:t>
      </w:r>
      <w:r w:rsidR="008D10D8">
        <w:rPr>
          <w:rFonts w:ascii="Times New Roman" w:eastAsia="Times New Roman" w:hAnsi="Times New Roman" w:cs="Times New Roman"/>
          <w:sz w:val="24"/>
          <w:szCs w:val="24"/>
          <w:lang w:eastAsia="pl-PL"/>
        </w:rPr>
        <w:t>dacjami zawartymi w dokumencie „</w:t>
      </w:r>
      <w:r w:rsidR="0093027B" w:rsidRPr="00F749A5">
        <w:rPr>
          <w:rFonts w:ascii="Times New Roman" w:eastAsia="Times New Roman" w:hAnsi="Times New Roman" w:cs="Times New Roman"/>
          <w:sz w:val="24"/>
          <w:szCs w:val="24"/>
          <w:lang w:eastAsia="pl-PL"/>
        </w:rPr>
        <w:t xml:space="preserve">Polityka migracyjna Polski </w:t>
      </w:r>
      <w:r w:rsidR="00AD297B">
        <w:rPr>
          <w:rFonts w:ascii="Times New Roman" w:eastAsia="Times New Roman" w:hAnsi="Times New Roman" w:cs="Times New Roman"/>
          <w:sz w:val="24"/>
          <w:szCs w:val="24"/>
          <w:lang w:eastAsia="pl-PL"/>
        </w:rPr>
        <w:t>–</w:t>
      </w:r>
      <w:r w:rsidR="0093027B" w:rsidRPr="00F749A5">
        <w:rPr>
          <w:rFonts w:ascii="Times New Roman" w:eastAsia="Times New Roman" w:hAnsi="Times New Roman" w:cs="Times New Roman"/>
          <w:sz w:val="24"/>
          <w:szCs w:val="24"/>
          <w:lang w:eastAsia="pl-PL"/>
        </w:rPr>
        <w:t xml:space="preserve"> stan o</w:t>
      </w:r>
      <w:r w:rsidR="008D10D8">
        <w:rPr>
          <w:rFonts w:ascii="Times New Roman" w:eastAsia="Times New Roman" w:hAnsi="Times New Roman" w:cs="Times New Roman"/>
          <w:sz w:val="24"/>
          <w:szCs w:val="24"/>
          <w:lang w:eastAsia="pl-PL"/>
        </w:rPr>
        <w:t>becny i postulowane działania”</w:t>
      </w:r>
      <w:r w:rsidR="001F3592" w:rsidRPr="00F749A5">
        <w:rPr>
          <w:rFonts w:ascii="Times New Roman" w:eastAsia="Times New Roman" w:hAnsi="Times New Roman" w:cs="Times New Roman"/>
          <w:sz w:val="24"/>
          <w:szCs w:val="24"/>
          <w:lang w:eastAsia="pl-PL"/>
        </w:rPr>
        <w:t xml:space="preserve"> (dokument </w:t>
      </w:r>
      <w:r w:rsidR="0093027B" w:rsidRPr="00F749A5">
        <w:rPr>
          <w:rFonts w:ascii="Times New Roman" w:eastAsia="Times New Roman" w:hAnsi="Times New Roman" w:cs="Times New Roman"/>
          <w:sz w:val="24"/>
          <w:szCs w:val="24"/>
          <w:lang w:eastAsia="pl-PL"/>
        </w:rPr>
        <w:t>przyjęty przez Radę Ministrów dnia 31 lipca 2012 r.</w:t>
      </w:r>
      <w:r w:rsidR="001F3592" w:rsidRPr="00F749A5">
        <w:rPr>
          <w:rFonts w:ascii="Times New Roman" w:eastAsia="Times New Roman" w:hAnsi="Times New Roman" w:cs="Times New Roman"/>
          <w:sz w:val="24"/>
          <w:szCs w:val="24"/>
          <w:lang w:eastAsia="pl-PL"/>
        </w:rPr>
        <w:t>)</w:t>
      </w:r>
      <w:r w:rsidR="00483419" w:rsidRPr="00F749A5">
        <w:rPr>
          <w:rFonts w:ascii="Times New Roman" w:eastAsia="Times New Roman" w:hAnsi="Times New Roman" w:cs="Times New Roman"/>
          <w:sz w:val="24"/>
          <w:szCs w:val="24"/>
          <w:lang w:eastAsia="pl-PL"/>
        </w:rPr>
        <w:t>, wskazującymi potrzebę</w:t>
      </w:r>
      <w:r w:rsidR="0093027B" w:rsidRPr="00F749A5">
        <w:rPr>
          <w:rFonts w:ascii="Times New Roman" w:eastAsia="Times New Roman" w:hAnsi="Times New Roman" w:cs="Times New Roman"/>
          <w:sz w:val="24"/>
          <w:szCs w:val="24"/>
          <w:lang w:eastAsia="pl-PL"/>
        </w:rPr>
        <w:t xml:space="preserve"> zapewni</w:t>
      </w:r>
      <w:r w:rsidR="00483419" w:rsidRPr="00F749A5">
        <w:rPr>
          <w:rFonts w:ascii="Times New Roman" w:eastAsia="Times New Roman" w:hAnsi="Times New Roman" w:cs="Times New Roman"/>
          <w:sz w:val="24"/>
          <w:szCs w:val="24"/>
          <w:lang w:eastAsia="pl-PL"/>
        </w:rPr>
        <w:t>enia</w:t>
      </w:r>
      <w:r w:rsidR="0093027B" w:rsidRPr="00F749A5">
        <w:rPr>
          <w:rFonts w:ascii="Times New Roman" w:eastAsia="Times New Roman" w:hAnsi="Times New Roman" w:cs="Times New Roman"/>
          <w:sz w:val="24"/>
          <w:szCs w:val="24"/>
          <w:lang w:eastAsia="pl-PL"/>
        </w:rPr>
        <w:t xml:space="preserve"> przejrzystoś</w:t>
      </w:r>
      <w:r w:rsidR="00483419" w:rsidRPr="00F749A5">
        <w:rPr>
          <w:rFonts w:ascii="Times New Roman" w:eastAsia="Times New Roman" w:hAnsi="Times New Roman" w:cs="Times New Roman"/>
          <w:sz w:val="24"/>
          <w:szCs w:val="24"/>
          <w:lang w:eastAsia="pl-PL"/>
        </w:rPr>
        <w:t>ci</w:t>
      </w:r>
      <w:r w:rsidR="0093027B" w:rsidRPr="00F749A5">
        <w:rPr>
          <w:rFonts w:ascii="Times New Roman" w:eastAsia="Times New Roman" w:hAnsi="Times New Roman" w:cs="Times New Roman"/>
          <w:sz w:val="24"/>
          <w:szCs w:val="24"/>
          <w:lang w:eastAsia="pl-PL"/>
        </w:rPr>
        <w:t xml:space="preserve"> regulacji prawnych w zakresie dos</w:t>
      </w:r>
      <w:r w:rsidR="00483419" w:rsidRPr="00F749A5">
        <w:rPr>
          <w:rFonts w:ascii="Times New Roman" w:eastAsia="Times New Roman" w:hAnsi="Times New Roman" w:cs="Times New Roman"/>
          <w:sz w:val="24"/>
          <w:szCs w:val="24"/>
          <w:lang w:eastAsia="pl-PL"/>
        </w:rPr>
        <w:t>tępu do polskiego rynku pracy (</w:t>
      </w:r>
      <w:r w:rsidR="001F3592" w:rsidRPr="00F749A5">
        <w:rPr>
          <w:rFonts w:ascii="Times New Roman" w:eastAsia="Times New Roman" w:hAnsi="Times New Roman" w:cs="Times New Roman"/>
          <w:sz w:val="24"/>
          <w:szCs w:val="24"/>
          <w:lang w:eastAsia="pl-PL"/>
        </w:rPr>
        <w:t xml:space="preserve">dla </w:t>
      </w:r>
      <w:r w:rsidR="00483419" w:rsidRPr="00F749A5">
        <w:rPr>
          <w:rFonts w:ascii="Times New Roman" w:eastAsia="Times New Roman" w:hAnsi="Times New Roman" w:cs="Times New Roman"/>
          <w:sz w:val="24"/>
          <w:szCs w:val="24"/>
          <w:lang w:eastAsia="pl-PL"/>
        </w:rPr>
        <w:t>cudzoziemców i ich pracodawców</w:t>
      </w:r>
      <w:r w:rsidR="0093027B" w:rsidRPr="00F749A5">
        <w:rPr>
          <w:rFonts w:ascii="Times New Roman" w:eastAsia="Times New Roman" w:hAnsi="Times New Roman" w:cs="Times New Roman"/>
          <w:sz w:val="24"/>
          <w:szCs w:val="24"/>
          <w:lang w:eastAsia="pl-PL"/>
        </w:rPr>
        <w:t>).</w:t>
      </w:r>
    </w:p>
    <w:p w:rsidR="004C5BCC" w:rsidRPr="00F749A5" w:rsidRDefault="004C5BCC" w:rsidP="00F749A5">
      <w:pPr>
        <w:spacing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 xml:space="preserve">Podsumowując dotychczas omówione propozycje zmian w art. 30 ustawy, poniżej przedstawiona została informacja o szacowanej wysokości maksymalnych dochodów gospodarstwa domowego najemcy lokali mieszkalnych w zasobach </w:t>
      </w:r>
      <w:r w:rsidR="00480349" w:rsidRPr="00F749A5">
        <w:rPr>
          <w:rFonts w:ascii="Times New Roman" w:eastAsia="Times New Roman" w:hAnsi="Times New Roman" w:cs="Times New Roman"/>
          <w:sz w:val="24"/>
          <w:szCs w:val="24"/>
          <w:lang w:eastAsia="pl-PL"/>
        </w:rPr>
        <w:t>TBS-ów</w:t>
      </w:r>
      <w:r w:rsidRPr="00F749A5">
        <w:rPr>
          <w:rFonts w:ascii="Times New Roman" w:eastAsia="Times New Roman" w:hAnsi="Times New Roman" w:cs="Times New Roman"/>
          <w:sz w:val="24"/>
          <w:szCs w:val="24"/>
          <w:lang w:eastAsia="pl-PL"/>
        </w:rPr>
        <w:t xml:space="preserve"> wybudowanych w ramach nowego programu wsparcia społecznego budownictwa czynszowego.</w:t>
      </w:r>
    </w:p>
    <w:p w:rsidR="001B2A2D" w:rsidRPr="00F749A5" w:rsidRDefault="001B2A2D" w:rsidP="00F749A5">
      <w:pPr>
        <w:spacing w:after="0" w:line="360" w:lineRule="auto"/>
        <w:jc w:val="both"/>
        <w:rPr>
          <w:rFonts w:ascii="Times New Roman" w:eastAsia="Times New Roman" w:hAnsi="Times New Roman" w:cs="Times New Roman"/>
          <w:i/>
          <w:sz w:val="24"/>
          <w:szCs w:val="24"/>
          <w:lang w:eastAsia="pl-PL"/>
        </w:rPr>
      </w:pPr>
    </w:p>
    <w:p w:rsidR="004C5BCC" w:rsidRPr="00F749A5" w:rsidRDefault="004C5BCC" w:rsidP="00F749A5">
      <w:pPr>
        <w:spacing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Szacowana</w:t>
      </w:r>
      <w:r w:rsidR="00F749A5">
        <w:rPr>
          <w:rFonts w:ascii="Times New Roman" w:eastAsia="Times New Roman" w:hAnsi="Times New Roman" w:cs="Times New Roman"/>
          <w:sz w:val="24"/>
          <w:szCs w:val="24"/>
          <w:lang w:eastAsia="pl-PL"/>
        </w:rPr>
        <w:t xml:space="preserve"> </w:t>
      </w:r>
      <w:r w:rsidRPr="00F749A5">
        <w:rPr>
          <w:rFonts w:ascii="Times New Roman" w:eastAsia="Times New Roman" w:hAnsi="Times New Roman" w:cs="Times New Roman"/>
          <w:sz w:val="24"/>
          <w:szCs w:val="24"/>
          <w:lang w:eastAsia="pl-PL"/>
        </w:rPr>
        <w:t xml:space="preserve">maksymalna wysokość dochodów gospodarstwa domowego najemcy lokalu w zasobach </w:t>
      </w:r>
      <w:r w:rsidR="00D06F6F" w:rsidRPr="00F749A5">
        <w:rPr>
          <w:rFonts w:ascii="Times New Roman" w:eastAsia="Times New Roman" w:hAnsi="Times New Roman" w:cs="Times New Roman"/>
          <w:sz w:val="24"/>
          <w:szCs w:val="24"/>
          <w:lang w:eastAsia="pl-PL"/>
        </w:rPr>
        <w:t>TBS-ów</w:t>
      </w:r>
      <w:r w:rsidRPr="00F749A5">
        <w:rPr>
          <w:rFonts w:ascii="Times New Roman" w:eastAsia="Times New Roman" w:hAnsi="Times New Roman" w:cs="Times New Roman"/>
          <w:sz w:val="24"/>
          <w:szCs w:val="24"/>
          <w:lang w:eastAsia="pl-PL"/>
        </w:rPr>
        <w:t xml:space="preserve">, wybudowanych w ramach rządowego programu wsparcia (w PLN po zaokrągleniu)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992"/>
        <w:gridCol w:w="992"/>
        <w:gridCol w:w="992"/>
        <w:gridCol w:w="993"/>
        <w:gridCol w:w="1383"/>
      </w:tblGrid>
      <w:tr w:rsidR="004C5BCC" w:rsidRPr="00F749A5" w:rsidTr="00AA1407">
        <w:tc>
          <w:tcPr>
            <w:tcW w:w="2093" w:type="dxa"/>
            <w:vMerge w:val="restart"/>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p>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 xml:space="preserve">województwo </w:t>
            </w:r>
          </w:p>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 stolica województwa</w:t>
            </w:r>
          </w:p>
        </w:tc>
        <w:tc>
          <w:tcPr>
            <w:tcW w:w="1843" w:type="dxa"/>
            <w:vMerge w:val="restart"/>
            <w:shd w:val="clear" w:color="auto" w:fill="D9D9D9" w:themeFill="background1" w:themeFillShade="D9"/>
          </w:tcPr>
          <w:p w:rsidR="004C5BCC" w:rsidRPr="00F749A5" w:rsidRDefault="004C5BCC" w:rsidP="00AA1407">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Szacowana wysokość przeciętnego wynagrodzenia miesięcznego brutto w gospodarce narodowej w 2013 r.</w:t>
            </w:r>
          </w:p>
        </w:tc>
        <w:tc>
          <w:tcPr>
            <w:tcW w:w="5352" w:type="dxa"/>
            <w:gridSpan w:val="5"/>
            <w:shd w:val="clear" w:color="auto" w:fill="D9D9D9" w:themeFill="background1" w:themeFillShade="D9"/>
          </w:tcPr>
          <w:p w:rsidR="004C5BCC" w:rsidRPr="00F749A5" w:rsidRDefault="004C5BCC" w:rsidP="00AD297B">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Maksymalny dochód gospodarstwa domowego, stosownie do liczby osób w</w:t>
            </w:r>
            <w:r w:rsidR="00AD297B">
              <w:rPr>
                <w:rFonts w:ascii="Times New Roman" w:eastAsia="Times New Roman" w:hAnsi="Times New Roman" w:cs="Times New Roman"/>
                <w:sz w:val="16"/>
                <w:szCs w:val="16"/>
                <w:lang w:eastAsia="pl-PL"/>
              </w:rPr>
              <w:t> </w:t>
            </w:r>
            <w:r w:rsidRPr="00F749A5">
              <w:rPr>
                <w:rFonts w:ascii="Times New Roman" w:eastAsia="Times New Roman" w:hAnsi="Times New Roman" w:cs="Times New Roman"/>
                <w:sz w:val="16"/>
                <w:szCs w:val="16"/>
                <w:lang w:eastAsia="pl-PL"/>
              </w:rPr>
              <w:t>gospodarstwie domowym najemcy</w:t>
            </w:r>
          </w:p>
        </w:tc>
      </w:tr>
      <w:tr w:rsidR="004C5BCC" w:rsidRPr="00F749A5" w:rsidTr="00AA1407">
        <w:tc>
          <w:tcPr>
            <w:tcW w:w="2093" w:type="dxa"/>
            <w:vMerge/>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p>
        </w:tc>
        <w:tc>
          <w:tcPr>
            <w:tcW w:w="1843" w:type="dxa"/>
            <w:vMerge/>
            <w:shd w:val="clear" w:color="auto" w:fill="D9D9D9" w:themeFill="background1" w:themeFillShade="D9"/>
          </w:tcPr>
          <w:p w:rsidR="004C5BCC" w:rsidRPr="00F749A5" w:rsidRDefault="004C5BCC" w:rsidP="00AA1407">
            <w:pPr>
              <w:spacing w:after="0" w:line="240" w:lineRule="auto"/>
              <w:jc w:val="center"/>
              <w:rPr>
                <w:rFonts w:ascii="Times New Roman" w:eastAsia="Times New Roman" w:hAnsi="Times New Roman" w:cs="Times New Roman"/>
                <w:sz w:val="16"/>
                <w:szCs w:val="16"/>
                <w:lang w:eastAsia="pl-PL"/>
              </w:rPr>
            </w:pP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1 os.</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2 os</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3 os.</w:t>
            </w:r>
          </w:p>
        </w:tc>
        <w:tc>
          <w:tcPr>
            <w:tcW w:w="99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4 os.</w:t>
            </w:r>
          </w:p>
        </w:tc>
        <w:tc>
          <w:tcPr>
            <w:tcW w:w="138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wzrost na każdą kolej</w:t>
            </w:r>
            <w:r w:rsidR="00AD297B">
              <w:rPr>
                <w:rFonts w:ascii="Times New Roman" w:eastAsia="Times New Roman" w:hAnsi="Times New Roman" w:cs="Times New Roman"/>
                <w:sz w:val="16"/>
                <w:szCs w:val="16"/>
                <w:lang w:eastAsia="pl-PL"/>
              </w:rPr>
              <w:t>n</w:t>
            </w:r>
            <w:r w:rsidRPr="00F749A5">
              <w:rPr>
                <w:rFonts w:ascii="Times New Roman" w:eastAsia="Times New Roman" w:hAnsi="Times New Roman" w:cs="Times New Roman"/>
                <w:sz w:val="16"/>
                <w:szCs w:val="16"/>
                <w:lang w:eastAsia="pl-PL"/>
              </w:rPr>
              <w:t>ą osobę</w:t>
            </w:r>
          </w:p>
        </w:tc>
      </w:tr>
      <w:tr w:rsidR="004C5BCC" w:rsidRPr="00F749A5" w:rsidTr="00AA1407">
        <w:trPr>
          <w:trHeight w:val="134"/>
        </w:trPr>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dolnośląskie</w:t>
            </w:r>
          </w:p>
        </w:tc>
        <w:tc>
          <w:tcPr>
            <w:tcW w:w="1843" w:type="dxa"/>
            <w:vMerge w:val="restart"/>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3 869</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3 095</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4 643</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6 384</w:t>
            </w:r>
          </w:p>
        </w:tc>
        <w:tc>
          <w:tcPr>
            <w:tcW w:w="99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7 738</w:t>
            </w:r>
          </w:p>
        </w:tc>
        <w:tc>
          <w:tcPr>
            <w:tcW w:w="138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1 548</w:t>
            </w:r>
          </w:p>
        </w:tc>
      </w:tr>
      <w:tr w:rsidR="004C5BCC" w:rsidRPr="00F749A5" w:rsidTr="00AA1407">
        <w:trPr>
          <w:trHeight w:val="43"/>
        </w:trPr>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Wrocław</w:t>
            </w:r>
          </w:p>
        </w:tc>
        <w:tc>
          <w:tcPr>
            <w:tcW w:w="1843" w:type="dxa"/>
            <w:vMerge/>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3 714</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5 571</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7 660</w:t>
            </w:r>
          </w:p>
        </w:tc>
        <w:tc>
          <w:tcPr>
            <w:tcW w:w="99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9 285</w:t>
            </w:r>
          </w:p>
        </w:tc>
        <w:tc>
          <w:tcPr>
            <w:tcW w:w="138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1 857</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kujawsko-pomorskie</w:t>
            </w:r>
          </w:p>
        </w:tc>
        <w:tc>
          <w:tcPr>
            <w:tcW w:w="1843" w:type="dxa"/>
            <w:vMerge w:val="restart"/>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3 322</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2 658</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3 987</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5 481</w:t>
            </w:r>
          </w:p>
        </w:tc>
        <w:tc>
          <w:tcPr>
            <w:tcW w:w="99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6 644</w:t>
            </w:r>
          </w:p>
        </w:tc>
        <w:tc>
          <w:tcPr>
            <w:tcW w:w="138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1 329</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Toruń/Bydgoszcz</w:t>
            </w:r>
          </w:p>
        </w:tc>
        <w:tc>
          <w:tcPr>
            <w:tcW w:w="1843" w:type="dxa"/>
            <w:vMerge/>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3 189</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4 784</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6 578</w:t>
            </w:r>
          </w:p>
        </w:tc>
        <w:tc>
          <w:tcPr>
            <w:tcW w:w="99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7 973</w:t>
            </w:r>
          </w:p>
        </w:tc>
        <w:tc>
          <w:tcPr>
            <w:tcW w:w="138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1 595</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lubelskie</w:t>
            </w:r>
          </w:p>
        </w:tc>
        <w:tc>
          <w:tcPr>
            <w:tcW w:w="1843" w:type="dxa"/>
            <w:vMerge w:val="restart"/>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3 489</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2 791</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4 186</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5 756</w:t>
            </w:r>
          </w:p>
        </w:tc>
        <w:tc>
          <w:tcPr>
            <w:tcW w:w="99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6 977</w:t>
            </w:r>
          </w:p>
        </w:tc>
        <w:tc>
          <w:tcPr>
            <w:tcW w:w="138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1 395</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Lublin</w:t>
            </w:r>
          </w:p>
        </w:tc>
        <w:tc>
          <w:tcPr>
            <w:tcW w:w="1843" w:type="dxa"/>
            <w:vMerge/>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3 349</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5 024</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6 907</w:t>
            </w:r>
          </w:p>
        </w:tc>
        <w:tc>
          <w:tcPr>
            <w:tcW w:w="99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8 373</w:t>
            </w:r>
          </w:p>
        </w:tc>
        <w:tc>
          <w:tcPr>
            <w:tcW w:w="138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1 675</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lubuskie</w:t>
            </w:r>
          </w:p>
        </w:tc>
        <w:tc>
          <w:tcPr>
            <w:tcW w:w="1843" w:type="dxa"/>
            <w:vMerge w:val="restart"/>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3 282</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2 626</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3 938</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5 415</w:t>
            </w:r>
          </w:p>
        </w:tc>
        <w:tc>
          <w:tcPr>
            <w:tcW w:w="99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6 564</w:t>
            </w:r>
          </w:p>
        </w:tc>
        <w:tc>
          <w:tcPr>
            <w:tcW w:w="138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1 313</w:t>
            </w:r>
          </w:p>
        </w:tc>
      </w:tr>
      <w:tr w:rsidR="004C5BCC" w:rsidRPr="00F749A5" w:rsidTr="00AA1407">
        <w:tc>
          <w:tcPr>
            <w:tcW w:w="2093" w:type="dxa"/>
            <w:shd w:val="clear" w:color="auto" w:fill="D9D9D9" w:themeFill="background1" w:themeFillShade="D9"/>
          </w:tcPr>
          <w:p w:rsidR="004C5BCC" w:rsidRPr="00F749A5" w:rsidRDefault="004C5BCC" w:rsidP="001F1AB1">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Gorzów Wl</w:t>
            </w:r>
            <w:r w:rsidR="00AD297B">
              <w:rPr>
                <w:rFonts w:ascii="Times New Roman" w:eastAsia="Times New Roman" w:hAnsi="Times New Roman" w:cs="Times New Roman"/>
                <w:sz w:val="16"/>
                <w:szCs w:val="16"/>
                <w:lang w:eastAsia="pl-PL"/>
              </w:rPr>
              <w:t>k</w:t>
            </w:r>
            <w:r w:rsidRPr="00F749A5">
              <w:rPr>
                <w:rFonts w:ascii="Times New Roman" w:eastAsia="Times New Roman" w:hAnsi="Times New Roman" w:cs="Times New Roman"/>
                <w:sz w:val="16"/>
                <w:szCs w:val="16"/>
                <w:lang w:eastAsia="pl-PL"/>
              </w:rPr>
              <w:t>p./Zielona Góra</w:t>
            </w:r>
          </w:p>
        </w:tc>
        <w:tc>
          <w:tcPr>
            <w:tcW w:w="1843" w:type="dxa"/>
            <w:vMerge/>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3 151</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4 726</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6 498</w:t>
            </w:r>
          </w:p>
        </w:tc>
        <w:tc>
          <w:tcPr>
            <w:tcW w:w="99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7 877</w:t>
            </w:r>
          </w:p>
        </w:tc>
        <w:tc>
          <w:tcPr>
            <w:tcW w:w="138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1 575</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łódzkie</w:t>
            </w:r>
          </w:p>
        </w:tc>
        <w:tc>
          <w:tcPr>
            <w:tcW w:w="1843" w:type="dxa"/>
            <w:vMerge w:val="restart"/>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3 510</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2 808</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4 212</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5 792</w:t>
            </w:r>
          </w:p>
        </w:tc>
        <w:tc>
          <w:tcPr>
            <w:tcW w:w="99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7 020</w:t>
            </w:r>
          </w:p>
        </w:tc>
        <w:tc>
          <w:tcPr>
            <w:tcW w:w="138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1 404</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Łódź</w:t>
            </w:r>
          </w:p>
        </w:tc>
        <w:tc>
          <w:tcPr>
            <w:tcW w:w="1843" w:type="dxa"/>
            <w:vMerge/>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3 370</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5 055</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6 950</w:t>
            </w:r>
          </w:p>
        </w:tc>
        <w:tc>
          <w:tcPr>
            <w:tcW w:w="99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8 424</w:t>
            </w:r>
          </w:p>
        </w:tc>
        <w:tc>
          <w:tcPr>
            <w:tcW w:w="138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1 685</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małopolskie</w:t>
            </w:r>
          </w:p>
        </w:tc>
        <w:tc>
          <w:tcPr>
            <w:tcW w:w="1843" w:type="dxa"/>
            <w:vMerge w:val="restart"/>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3 574</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2 859</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4 289</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5 897</w:t>
            </w:r>
          </w:p>
        </w:tc>
        <w:tc>
          <w:tcPr>
            <w:tcW w:w="99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7 148</w:t>
            </w:r>
          </w:p>
        </w:tc>
        <w:tc>
          <w:tcPr>
            <w:tcW w:w="138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1 430</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Kraków</w:t>
            </w:r>
          </w:p>
        </w:tc>
        <w:tc>
          <w:tcPr>
            <w:tcW w:w="1843" w:type="dxa"/>
            <w:vMerge/>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3 431</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5 147</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7 077</w:t>
            </w:r>
          </w:p>
        </w:tc>
        <w:tc>
          <w:tcPr>
            <w:tcW w:w="99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8 578</w:t>
            </w:r>
          </w:p>
        </w:tc>
        <w:tc>
          <w:tcPr>
            <w:tcW w:w="138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1 716</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mazowieckie</w:t>
            </w:r>
          </w:p>
        </w:tc>
        <w:tc>
          <w:tcPr>
            <w:tcW w:w="1843" w:type="dxa"/>
            <w:vMerge w:val="restart"/>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4 773</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3 819</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5 728</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7 876</w:t>
            </w:r>
          </w:p>
        </w:tc>
        <w:tc>
          <w:tcPr>
            <w:tcW w:w="99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9 547</w:t>
            </w:r>
          </w:p>
        </w:tc>
        <w:tc>
          <w:tcPr>
            <w:tcW w:w="138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1 909</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Warszawa</w:t>
            </w:r>
          </w:p>
        </w:tc>
        <w:tc>
          <w:tcPr>
            <w:tcW w:w="1843" w:type="dxa"/>
            <w:vMerge/>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4 582</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6 874</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9 451</w:t>
            </w:r>
          </w:p>
        </w:tc>
        <w:tc>
          <w:tcPr>
            <w:tcW w:w="99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11 456</w:t>
            </w:r>
          </w:p>
        </w:tc>
        <w:tc>
          <w:tcPr>
            <w:tcW w:w="138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2 291</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opolskie</w:t>
            </w:r>
          </w:p>
        </w:tc>
        <w:tc>
          <w:tcPr>
            <w:tcW w:w="1843" w:type="dxa"/>
            <w:vMerge w:val="restart"/>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3 473</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2 779</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4 168</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5 731</w:t>
            </w:r>
          </w:p>
        </w:tc>
        <w:tc>
          <w:tcPr>
            <w:tcW w:w="99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6 947</w:t>
            </w:r>
          </w:p>
        </w:tc>
        <w:tc>
          <w:tcPr>
            <w:tcW w:w="138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1 389</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Opole</w:t>
            </w:r>
          </w:p>
        </w:tc>
        <w:tc>
          <w:tcPr>
            <w:tcW w:w="1843" w:type="dxa"/>
            <w:vMerge/>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3 334</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5 002</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6 877</w:t>
            </w:r>
          </w:p>
        </w:tc>
        <w:tc>
          <w:tcPr>
            <w:tcW w:w="99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8 336</w:t>
            </w:r>
          </w:p>
        </w:tc>
        <w:tc>
          <w:tcPr>
            <w:tcW w:w="138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1 667</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podkarpackie</w:t>
            </w:r>
          </w:p>
        </w:tc>
        <w:tc>
          <w:tcPr>
            <w:tcW w:w="1843" w:type="dxa"/>
            <w:vMerge w:val="restart"/>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3 283</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2 626</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3 939</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5 416</w:t>
            </w:r>
          </w:p>
        </w:tc>
        <w:tc>
          <w:tcPr>
            <w:tcW w:w="99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6 565</w:t>
            </w:r>
          </w:p>
        </w:tc>
        <w:tc>
          <w:tcPr>
            <w:tcW w:w="138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1 313</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Rzeszów</w:t>
            </w:r>
          </w:p>
        </w:tc>
        <w:tc>
          <w:tcPr>
            <w:tcW w:w="1843" w:type="dxa"/>
            <w:vMerge/>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3 151</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4 727</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6 500</w:t>
            </w:r>
          </w:p>
        </w:tc>
        <w:tc>
          <w:tcPr>
            <w:tcW w:w="99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7 878</w:t>
            </w:r>
          </w:p>
        </w:tc>
        <w:tc>
          <w:tcPr>
            <w:tcW w:w="138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1 576</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podlaskie</w:t>
            </w:r>
          </w:p>
        </w:tc>
        <w:tc>
          <w:tcPr>
            <w:tcW w:w="1843" w:type="dxa"/>
            <w:vMerge w:val="restart"/>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3 433</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2 746</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4 119</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5 664</w:t>
            </w:r>
          </w:p>
        </w:tc>
        <w:tc>
          <w:tcPr>
            <w:tcW w:w="99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6 865</w:t>
            </w:r>
          </w:p>
        </w:tc>
        <w:tc>
          <w:tcPr>
            <w:tcW w:w="138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1 373</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Białystok</w:t>
            </w:r>
          </w:p>
        </w:tc>
        <w:tc>
          <w:tcPr>
            <w:tcW w:w="1843" w:type="dxa"/>
            <w:vMerge/>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3 295</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4 943</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6 797</w:t>
            </w:r>
          </w:p>
        </w:tc>
        <w:tc>
          <w:tcPr>
            <w:tcW w:w="99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8 239</w:t>
            </w:r>
          </w:p>
        </w:tc>
        <w:tc>
          <w:tcPr>
            <w:tcW w:w="138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1 648</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pomorskie</w:t>
            </w:r>
          </w:p>
        </w:tc>
        <w:tc>
          <w:tcPr>
            <w:tcW w:w="1843" w:type="dxa"/>
            <w:vMerge w:val="restart"/>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3 847</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3 078</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4 617</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6 348</w:t>
            </w:r>
          </w:p>
        </w:tc>
        <w:tc>
          <w:tcPr>
            <w:tcW w:w="99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7 694</w:t>
            </w:r>
          </w:p>
        </w:tc>
        <w:tc>
          <w:tcPr>
            <w:tcW w:w="138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1 539</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Gdańsk</w:t>
            </w:r>
          </w:p>
        </w:tc>
        <w:tc>
          <w:tcPr>
            <w:tcW w:w="1843" w:type="dxa"/>
            <w:vMerge/>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3 693</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5 540</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7 617</w:t>
            </w:r>
          </w:p>
        </w:tc>
        <w:tc>
          <w:tcPr>
            <w:tcW w:w="99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9 233</w:t>
            </w:r>
          </w:p>
        </w:tc>
        <w:tc>
          <w:tcPr>
            <w:tcW w:w="138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1 847</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śląskie</w:t>
            </w:r>
          </w:p>
        </w:tc>
        <w:tc>
          <w:tcPr>
            <w:tcW w:w="1843" w:type="dxa"/>
            <w:vMerge w:val="restart"/>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4 023</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3 218</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4 827</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6 638</w:t>
            </w:r>
          </w:p>
        </w:tc>
        <w:tc>
          <w:tcPr>
            <w:tcW w:w="99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8 046</w:t>
            </w:r>
          </w:p>
        </w:tc>
        <w:tc>
          <w:tcPr>
            <w:tcW w:w="138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1 609</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lastRenderedPageBreak/>
              <w:t>Katowice</w:t>
            </w:r>
          </w:p>
        </w:tc>
        <w:tc>
          <w:tcPr>
            <w:tcW w:w="1843" w:type="dxa"/>
            <w:vMerge/>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3 862</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5 793</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7 965</w:t>
            </w:r>
          </w:p>
        </w:tc>
        <w:tc>
          <w:tcPr>
            <w:tcW w:w="99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9 655</w:t>
            </w:r>
          </w:p>
        </w:tc>
        <w:tc>
          <w:tcPr>
            <w:tcW w:w="138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1 931</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świętokrzyskie</w:t>
            </w:r>
          </w:p>
        </w:tc>
        <w:tc>
          <w:tcPr>
            <w:tcW w:w="1843" w:type="dxa"/>
            <w:vMerge w:val="restart"/>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3 350</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2 680</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4 020</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5 527</w:t>
            </w:r>
          </w:p>
        </w:tc>
        <w:tc>
          <w:tcPr>
            <w:tcW w:w="99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6 700</w:t>
            </w:r>
          </w:p>
        </w:tc>
        <w:tc>
          <w:tcPr>
            <w:tcW w:w="138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1 340</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Kielce</w:t>
            </w:r>
          </w:p>
        </w:tc>
        <w:tc>
          <w:tcPr>
            <w:tcW w:w="1843" w:type="dxa"/>
            <w:vMerge/>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3 216</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4 824</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6 633</w:t>
            </w:r>
          </w:p>
        </w:tc>
        <w:tc>
          <w:tcPr>
            <w:tcW w:w="99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8 040</w:t>
            </w:r>
          </w:p>
        </w:tc>
        <w:tc>
          <w:tcPr>
            <w:tcW w:w="138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1 608</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warmińsko-mazurskie</w:t>
            </w:r>
          </w:p>
        </w:tc>
        <w:tc>
          <w:tcPr>
            <w:tcW w:w="1843" w:type="dxa"/>
            <w:vMerge w:val="restart"/>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3 265</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2 612</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3 918</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5 387</w:t>
            </w:r>
          </w:p>
        </w:tc>
        <w:tc>
          <w:tcPr>
            <w:tcW w:w="99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6 529</w:t>
            </w:r>
          </w:p>
        </w:tc>
        <w:tc>
          <w:tcPr>
            <w:tcW w:w="138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1 306</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Olsztyn</w:t>
            </w:r>
          </w:p>
        </w:tc>
        <w:tc>
          <w:tcPr>
            <w:tcW w:w="1843" w:type="dxa"/>
            <w:vMerge/>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3 134</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4 701</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6 464</w:t>
            </w:r>
          </w:p>
        </w:tc>
        <w:tc>
          <w:tcPr>
            <w:tcW w:w="99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7 835</w:t>
            </w:r>
          </w:p>
        </w:tc>
        <w:tc>
          <w:tcPr>
            <w:tcW w:w="138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1 567</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wielkopolskie</w:t>
            </w:r>
          </w:p>
        </w:tc>
        <w:tc>
          <w:tcPr>
            <w:tcW w:w="1843" w:type="dxa"/>
            <w:vMerge w:val="restart"/>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3 515</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2 812</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4 218</w:t>
            </w:r>
          </w:p>
        </w:tc>
        <w:tc>
          <w:tcPr>
            <w:tcW w:w="992"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5 800</w:t>
            </w:r>
          </w:p>
        </w:tc>
        <w:tc>
          <w:tcPr>
            <w:tcW w:w="99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7 031</w:t>
            </w:r>
          </w:p>
        </w:tc>
        <w:tc>
          <w:tcPr>
            <w:tcW w:w="1383" w:type="dxa"/>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1 406</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Poznań</w:t>
            </w:r>
          </w:p>
        </w:tc>
        <w:tc>
          <w:tcPr>
            <w:tcW w:w="1843" w:type="dxa"/>
            <w:vMerge/>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3 375</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5 062</w:t>
            </w:r>
          </w:p>
        </w:tc>
        <w:tc>
          <w:tcPr>
            <w:tcW w:w="992"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6 960</w:t>
            </w:r>
          </w:p>
        </w:tc>
        <w:tc>
          <w:tcPr>
            <w:tcW w:w="99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8 437</w:t>
            </w:r>
          </w:p>
        </w:tc>
        <w:tc>
          <w:tcPr>
            <w:tcW w:w="1383" w:type="dxa"/>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1 687</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zachodniopomorskie</w:t>
            </w:r>
          </w:p>
        </w:tc>
        <w:tc>
          <w:tcPr>
            <w:tcW w:w="1843" w:type="dxa"/>
            <w:vMerge w:val="restart"/>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3 539</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2 831</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4 247</w:t>
            </w:r>
          </w:p>
        </w:tc>
        <w:tc>
          <w:tcPr>
            <w:tcW w:w="992"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5 840</w:t>
            </w:r>
          </w:p>
        </w:tc>
        <w:tc>
          <w:tcPr>
            <w:tcW w:w="99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7 078</w:t>
            </w:r>
          </w:p>
        </w:tc>
        <w:tc>
          <w:tcPr>
            <w:tcW w:w="1383" w:type="dxa"/>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r w:rsidRPr="00F749A5">
              <w:rPr>
                <w:rFonts w:ascii="Times New Roman" w:eastAsia="Times New Roman" w:hAnsi="Times New Roman" w:cs="Times New Roman"/>
                <w:color w:val="000000"/>
                <w:sz w:val="16"/>
                <w:szCs w:val="16"/>
                <w:lang w:eastAsia="pl-PL"/>
              </w:rPr>
              <w:t>1 416</w:t>
            </w:r>
          </w:p>
        </w:tc>
      </w:tr>
      <w:tr w:rsidR="004C5BCC" w:rsidRPr="00F749A5" w:rsidTr="00AA1407">
        <w:tc>
          <w:tcPr>
            <w:tcW w:w="2093" w:type="dxa"/>
            <w:shd w:val="clear" w:color="auto" w:fill="D9D9D9" w:themeFill="background1" w:themeFillShade="D9"/>
          </w:tcPr>
          <w:p w:rsidR="004C5BCC" w:rsidRPr="00F749A5" w:rsidRDefault="004C5BCC" w:rsidP="00AA1407">
            <w:pPr>
              <w:spacing w:after="0" w:line="240" w:lineRule="auto"/>
              <w:jc w:val="both"/>
              <w:rPr>
                <w:rFonts w:ascii="Times New Roman" w:eastAsia="Times New Roman" w:hAnsi="Times New Roman" w:cs="Times New Roman"/>
                <w:sz w:val="16"/>
                <w:szCs w:val="16"/>
                <w:lang w:eastAsia="pl-PL"/>
              </w:rPr>
            </w:pPr>
            <w:r w:rsidRPr="00F749A5">
              <w:rPr>
                <w:rFonts w:ascii="Times New Roman" w:eastAsia="Times New Roman" w:hAnsi="Times New Roman" w:cs="Times New Roman"/>
                <w:sz w:val="16"/>
                <w:szCs w:val="16"/>
                <w:lang w:eastAsia="pl-PL"/>
              </w:rPr>
              <w:t>Szczecin</w:t>
            </w:r>
          </w:p>
        </w:tc>
        <w:tc>
          <w:tcPr>
            <w:tcW w:w="1843" w:type="dxa"/>
            <w:vMerge/>
            <w:shd w:val="clear" w:color="auto" w:fill="D9D9D9" w:themeFill="background1" w:themeFillShade="D9"/>
            <w:vAlign w:val="center"/>
          </w:tcPr>
          <w:p w:rsidR="004C5BCC" w:rsidRPr="00F749A5" w:rsidRDefault="004C5BCC" w:rsidP="00AA1407">
            <w:pPr>
              <w:spacing w:after="0" w:line="240" w:lineRule="auto"/>
              <w:jc w:val="center"/>
              <w:rPr>
                <w:rFonts w:ascii="Times New Roman" w:eastAsia="Times New Roman" w:hAnsi="Times New Roman" w:cs="Times New Roman"/>
                <w:color w:val="000000"/>
                <w:sz w:val="16"/>
                <w:szCs w:val="16"/>
                <w:lang w:eastAsia="pl-PL"/>
              </w:rPr>
            </w:pP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3 398</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5 096</w:t>
            </w:r>
          </w:p>
        </w:tc>
        <w:tc>
          <w:tcPr>
            <w:tcW w:w="992"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7 007</w:t>
            </w:r>
          </w:p>
        </w:tc>
        <w:tc>
          <w:tcPr>
            <w:tcW w:w="99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8 494</w:t>
            </w:r>
          </w:p>
        </w:tc>
        <w:tc>
          <w:tcPr>
            <w:tcW w:w="1383" w:type="dxa"/>
            <w:shd w:val="clear" w:color="auto" w:fill="D9D9D9" w:themeFill="background1" w:themeFillShade="D9"/>
            <w:vAlign w:val="bottom"/>
          </w:tcPr>
          <w:p w:rsidR="004C5BCC" w:rsidRPr="00F749A5" w:rsidRDefault="004C5BCC" w:rsidP="00AA1407">
            <w:pPr>
              <w:spacing w:after="0" w:line="240" w:lineRule="auto"/>
              <w:jc w:val="center"/>
              <w:rPr>
                <w:rFonts w:ascii="Times New Roman" w:hAnsi="Times New Roman" w:cs="Times New Roman"/>
                <w:color w:val="000000"/>
                <w:sz w:val="16"/>
                <w:szCs w:val="16"/>
              </w:rPr>
            </w:pPr>
            <w:r w:rsidRPr="00F749A5">
              <w:rPr>
                <w:rFonts w:ascii="Times New Roman" w:hAnsi="Times New Roman" w:cs="Times New Roman"/>
                <w:color w:val="000000"/>
                <w:sz w:val="16"/>
                <w:szCs w:val="16"/>
              </w:rPr>
              <w:t>1 699</w:t>
            </w:r>
          </w:p>
        </w:tc>
      </w:tr>
    </w:tbl>
    <w:p w:rsidR="004C5BCC" w:rsidRPr="00F749A5" w:rsidRDefault="004C5BCC" w:rsidP="004C5BCC">
      <w:pPr>
        <w:spacing w:after="0" w:line="240" w:lineRule="auto"/>
        <w:jc w:val="both"/>
        <w:rPr>
          <w:rFonts w:ascii="Times New Roman" w:eastAsia="Times New Roman" w:hAnsi="Times New Roman" w:cs="Times New Roman"/>
          <w:sz w:val="20"/>
          <w:szCs w:val="20"/>
          <w:lang w:eastAsia="pl-PL"/>
        </w:rPr>
      </w:pPr>
      <w:r w:rsidRPr="00F749A5">
        <w:rPr>
          <w:rFonts w:ascii="Times New Roman" w:eastAsia="Times New Roman" w:hAnsi="Times New Roman" w:cs="Times New Roman"/>
          <w:sz w:val="20"/>
          <w:szCs w:val="20"/>
          <w:lang w:eastAsia="pl-PL"/>
        </w:rPr>
        <w:t xml:space="preserve">Źródło: szacunki własne </w:t>
      </w:r>
      <w:proofErr w:type="spellStart"/>
      <w:r w:rsidRPr="00F749A5">
        <w:rPr>
          <w:rFonts w:ascii="Times New Roman" w:eastAsia="Times New Roman" w:hAnsi="Times New Roman" w:cs="Times New Roman"/>
          <w:sz w:val="20"/>
          <w:szCs w:val="20"/>
          <w:lang w:eastAsia="pl-PL"/>
        </w:rPr>
        <w:t>MIiR</w:t>
      </w:r>
      <w:proofErr w:type="spellEnd"/>
      <w:r w:rsidRPr="00F749A5">
        <w:rPr>
          <w:rFonts w:ascii="Times New Roman" w:eastAsia="Times New Roman" w:hAnsi="Times New Roman" w:cs="Times New Roman"/>
          <w:sz w:val="20"/>
          <w:szCs w:val="20"/>
          <w:lang w:eastAsia="pl-PL"/>
        </w:rPr>
        <w:t xml:space="preserve"> w oparciu o dane GUS</w:t>
      </w:r>
    </w:p>
    <w:p w:rsidR="004C5BCC" w:rsidRDefault="004C5BCC" w:rsidP="004C5BCC">
      <w:pPr>
        <w:spacing w:after="120" w:line="240" w:lineRule="exact"/>
        <w:ind w:left="357"/>
        <w:contextualSpacing/>
        <w:jc w:val="both"/>
        <w:rPr>
          <w:rFonts w:eastAsia="Times New Roman" w:cs="Times New Roman"/>
          <w:lang w:eastAsia="pl-PL"/>
        </w:rPr>
      </w:pPr>
    </w:p>
    <w:p w:rsidR="001B2A2D" w:rsidRPr="00A67280" w:rsidRDefault="001B2A2D" w:rsidP="004C5BCC">
      <w:pPr>
        <w:spacing w:after="120" w:line="240" w:lineRule="exact"/>
        <w:ind w:left="357"/>
        <w:contextualSpacing/>
        <w:jc w:val="both"/>
        <w:rPr>
          <w:rFonts w:eastAsia="Times New Roman" w:cs="Times New Roman"/>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53"/>
      </w:tblGrid>
      <w:tr w:rsidR="00686050" w:rsidRPr="00655511" w:rsidTr="00686050">
        <w:tc>
          <w:tcPr>
            <w:tcW w:w="959" w:type="dxa"/>
          </w:tcPr>
          <w:p w:rsidR="00686050" w:rsidRPr="00655511" w:rsidRDefault="00686050" w:rsidP="00F749A5">
            <w:pPr>
              <w:spacing w:before="120" w:line="360" w:lineRule="auto"/>
              <w:jc w:val="both"/>
              <w:rPr>
                <w:rFonts w:ascii="Times New Roman" w:eastAsia="Times New Roman" w:hAnsi="Times New Roman" w:cs="Times New Roman"/>
                <w:sz w:val="24"/>
                <w:szCs w:val="24"/>
                <w:lang w:eastAsia="pl-PL"/>
              </w:rPr>
            </w:pPr>
            <w:r w:rsidRPr="00655511">
              <w:rPr>
                <w:rFonts w:ascii="Times New Roman" w:eastAsia="Times New Roman" w:hAnsi="Times New Roman" w:cs="Times New Roman"/>
                <w:sz w:val="24"/>
                <w:szCs w:val="24"/>
                <w:lang w:eastAsia="pl-PL"/>
              </w:rPr>
              <w:t>Ad 3.</w:t>
            </w:r>
          </w:p>
        </w:tc>
        <w:tc>
          <w:tcPr>
            <w:tcW w:w="8253" w:type="dxa"/>
          </w:tcPr>
          <w:p w:rsidR="00686050" w:rsidRPr="00655511" w:rsidRDefault="00686050" w:rsidP="00F749A5">
            <w:pPr>
              <w:spacing w:before="120" w:line="360" w:lineRule="auto"/>
              <w:jc w:val="both"/>
              <w:rPr>
                <w:rFonts w:ascii="Times New Roman" w:eastAsia="Times New Roman" w:hAnsi="Times New Roman" w:cs="Times New Roman"/>
                <w:sz w:val="24"/>
                <w:szCs w:val="24"/>
                <w:lang w:eastAsia="pl-PL"/>
              </w:rPr>
            </w:pPr>
            <w:r w:rsidRPr="00655511">
              <w:rPr>
                <w:rFonts w:ascii="Times New Roman" w:eastAsia="Times New Roman" w:hAnsi="Times New Roman" w:cs="Times New Roman"/>
                <w:sz w:val="24"/>
                <w:szCs w:val="24"/>
                <w:lang w:eastAsia="pl-PL"/>
              </w:rPr>
              <w:t>Zmiana przepisów dotyczących okresowej weryfikacji dochodów gospodarstwa domowego najemcy lokalu wybudowanego przy wykorzystaniu rządowego programu wsparcia</w:t>
            </w:r>
            <w:r w:rsidR="001A1380" w:rsidRPr="00655511">
              <w:rPr>
                <w:rFonts w:ascii="Times New Roman" w:eastAsia="Times New Roman" w:hAnsi="Times New Roman" w:cs="Times New Roman"/>
                <w:sz w:val="24"/>
                <w:szCs w:val="24"/>
                <w:lang w:eastAsia="pl-PL"/>
              </w:rPr>
              <w:t xml:space="preserve"> – </w:t>
            </w:r>
            <w:r w:rsidR="001A1380" w:rsidRPr="00655511">
              <w:rPr>
                <w:rFonts w:ascii="Times New Roman" w:eastAsia="Times New Roman" w:hAnsi="Times New Roman" w:cs="Times New Roman"/>
                <w:b/>
                <w:sz w:val="24"/>
                <w:szCs w:val="24"/>
                <w:lang w:eastAsia="pl-PL"/>
              </w:rPr>
              <w:t xml:space="preserve">art. 30 ust. </w:t>
            </w:r>
            <w:r w:rsidR="00617BA8" w:rsidRPr="00655511">
              <w:rPr>
                <w:rFonts w:ascii="Times New Roman" w:eastAsia="Times New Roman" w:hAnsi="Times New Roman" w:cs="Times New Roman"/>
                <w:b/>
                <w:sz w:val="24"/>
                <w:szCs w:val="24"/>
                <w:lang w:eastAsia="pl-PL"/>
              </w:rPr>
              <w:t>3</w:t>
            </w:r>
            <w:r w:rsidR="001A1380" w:rsidRPr="00655511">
              <w:rPr>
                <w:rFonts w:ascii="Times New Roman" w:eastAsia="Times New Roman" w:hAnsi="Times New Roman" w:cs="Times New Roman"/>
                <w:b/>
                <w:sz w:val="24"/>
                <w:szCs w:val="24"/>
                <w:lang w:eastAsia="pl-PL"/>
              </w:rPr>
              <w:t>-6</w:t>
            </w:r>
          </w:p>
        </w:tc>
      </w:tr>
    </w:tbl>
    <w:p w:rsidR="00F44E31" w:rsidRPr="00F749A5" w:rsidRDefault="00686050" w:rsidP="00F749A5">
      <w:pPr>
        <w:spacing w:before="120"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 xml:space="preserve">Zakłada się, że istotnym uzupełnieniem zmian korygujących progi dochodowe uprawniające do najmu mieszkań wybudowanych w ramach rządowego programu wsparcia będą zmiany wprowadzone w art. 30 ust. </w:t>
      </w:r>
      <w:r w:rsidR="00617BA8" w:rsidRPr="00F749A5">
        <w:rPr>
          <w:rFonts w:ascii="Times New Roman" w:eastAsia="Times New Roman" w:hAnsi="Times New Roman" w:cs="Times New Roman"/>
          <w:sz w:val="24"/>
          <w:szCs w:val="24"/>
          <w:lang w:eastAsia="pl-PL"/>
        </w:rPr>
        <w:t>3</w:t>
      </w:r>
      <w:r w:rsidR="004D26DE" w:rsidRPr="00F749A5">
        <w:rPr>
          <w:rFonts w:ascii="Times New Roman" w:eastAsia="Times New Roman" w:hAnsi="Times New Roman" w:cs="Times New Roman"/>
          <w:sz w:val="24"/>
          <w:szCs w:val="24"/>
          <w:lang w:eastAsia="pl-PL"/>
        </w:rPr>
        <w:t xml:space="preserve"> i </w:t>
      </w:r>
      <w:r w:rsidRPr="00F749A5">
        <w:rPr>
          <w:rFonts w:ascii="Times New Roman" w:eastAsia="Times New Roman" w:hAnsi="Times New Roman" w:cs="Times New Roman"/>
          <w:sz w:val="24"/>
          <w:szCs w:val="24"/>
          <w:lang w:eastAsia="pl-PL"/>
        </w:rPr>
        <w:t>5</w:t>
      </w:r>
      <w:r w:rsidR="00617BA8" w:rsidRPr="00F749A5">
        <w:rPr>
          <w:rFonts w:ascii="Times New Roman" w:eastAsia="Times New Roman" w:hAnsi="Times New Roman" w:cs="Times New Roman"/>
          <w:sz w:val="24"/>
          <w:szCs w:val="24"/>
          <w:lang w:eastAsia="pl-PL"/>
        </w:rPr>
        <w:t xml:space="preserve"> ustawy</w:t>
      </w:r>
      <w:r w:rsidRPr="00F749A5">
        <w:rPr>
          <w:rFonts w:ascii="Times New Roman" w:eastAsia="Times New Roman" w:hAnsi="Times New Roman" w:cs="Times New Roman"/>
          <w:sz w:val="24"/>
          <w:szCs w:val="24"/>
          <w:lang w:eastAsia="pl-PL"/>
        </w:rPr>
        <w:t xml:space="preserve">. </w:t>
      </w:r>
    </w:p>
    <w:p w:rsidR="00F80F93" w:rsidRPr="00F749A5" w:rsidRDefault="00617BA8" w:rsidP="00F749A5">
      <w:pPr>
        <w:spacing w:before="120"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pacing w:val="4"/>
          <w:sz w:val="24"/>
          <w:szCs w:val="24"/>
          <w:lang w:eastAsia="pl-PL"/>
        </w:rPr>
        <w:t xml:space="preserve">Zmiana zawarta w </w:t>
      </w:r>
      <w:r w:rsidRPr="00F749A5">
        <w:rPr>
          <w:rFonts w:ascii="Times New Roman" w:eastAsia="Times New Roman" w:hAnsi="Times New Roman" w:cs="Times New Roman"/>
          <w:b/>
          <w:spacing w:val="4"/>
          <w:sz w:val="24"/>
          <w:szCs w:val="24"/>
          <w:lang w:eastAsia="pl-PL"/>
        </w:rPr>
        <w:t>art. 30 ust. 3</w:t>
      </w:r>
      <w:r w:rsidRPr="00F749A5">
        <w:rPr>
          <w:rFonts w:ascii="Times New Roman" w:eastAsia="Times New Roman" w:hAnsi="Times New Roman" w:cs="Times New Roman"/>
          <w:spacing w:val="4"/>
          <w:sz w:val="24"/>
          <w:szCs w:val="24"/>
          <w:lang w:eastAsia="pl-PL"/>
        </w:rPr>
        <w:t xml:space="preserve"> przewiduje </w:t>
      </w:r>
      <w:r w:rsidR="004D26DE" w:rsidRPr="00F749A5">
        <w:rPr>
          <w:rFonts w:ascii="Times New Roman" w:eastAsia="Times New Roman" w:hAnsi="Times New Roman" w:cs="Times New Roman"/>
          <w:spacing w:val="4"/>
          <w:sz w:val="24"/>
          <w:szCs w:val="24"/>
          <w:lang w:eastAsia="pl-PL"/>
        </w:rPr>
        <w:t>zmianę terminu sk</w:t>
      </w:r>
      <w:r w:rsidR="009C795B" w:rsidRPr="00F749A5">
        <w:rPr>
          <w:rFonts w:ascii="Times New Roman" w:eastAsia="Times New Roman" w:hAnsi="Times New Roman" w:cs="Times New Roman"/>
          <w:spacing w:val="4"/>
          <w:sz w:val="24"/>
          <w:szCs w:val="24"/>
          <w:lang w:eastAsia="pl-PL"/>
        </w:rPr>
        <w:t>ł</w:t>
      </w:r>
      <w:r w:rsidR="004D26DE" w:rsidRPr="00F749A5">
        <w:rPr>
          <w:rFonts w:ascii="Times New Roman" w:eastAsia="Times New Roman" w:hAnsi="Times New Roman" w:cs="Times New Roman"/>
          <w:spacing w:val="4"/>
          <w:sz w:val="24"/>
          <w:szCs w:val="24"/>
          <w:lang w:eastAsia="pl-PL"/>
        </w:rPr>
        <w:t>adania deklaracji o średnim miesięcznym dochodzie przypadającym na gospodarstwo domowe w roku poprzednim</w:t>
      </w:r>
      <w:r w:rsidR="009C795B" w:rsidRPr="00F749A5">
        <w:rPr>
          <w:rFonts w:ascii="Times New Roman" w:eastAsia="Times New Roman" w:hAnsi="Times New Roman" w:cs="Times New Roman"/>
          <w:spacing w:val="4"/>
          <w:sz w:val="24"/>
          <w:szCs w:val="24"/>
          <w:lang w:eastAsia="pl-PL"/>
        </w:rPr>
        <w:t xml:space="preserve">. </w:t>
      </w:r>
      <w:r w:rsidR="004F48CA" w:rsidRPr="00F749A5">
        <w:rPr>
          <w:rFonts w:ascii="Times New Roman" w:eastAsia="Times New Roman" w:hAnsi="Times New Roman" w:cs="Times New Roman"/>
          <w:sz w:val="24"/>
          <w:szCs w:val="24"/>
          <w:lang w:eastAsia="pl-PL"/>
        </w:rPr>
        <w:t xml:space="preserve">Dotychczasowy termin składania deklaracji określony był na 30 kwietnia. </w:t>
      </w:r>
      <w:r w:rsidR="00A57591" w:rsidRPr="00F749A5">
        <w:rPr>
          <w:rFonts w:ascii="Times New Roman" w:eastAsia="Times New Roman" w:hAnsi="Times New Roman" w:cs="Times New Roman"/>
          <w:sz w:val="24"/>
          <w:szCs w:val="24"/>
          <w:lang w:eastAsia="pl-PL"/>
        </w:rPr>
        <w:t xml:space="preserve">Ze względu na fakt, że </w:t>
      </w:r>
      <w:r w:rsidR="004F48CA" w:rsidRPr="00F749A5">
        <w:rPr>
          <w:rFonts w:ascii="Times New Roman" w:eastAsia="Times New Roman" w:hAnsi="Times New Roman" w:cs="Times New Roman"/>
          <w:sz w:val="24"/>
          <w:szCs w:val="24"/>
          <w:lang w:eastAsia="pl-PL"/>
        </w:rPr>
        <w:t>pokrywa się on z terminem składania deklaracji podatkowych, termin ten proponuje się przesunąć na 30 maja.</w:t>
      </w:r>
    </w:p>
    <w:p w:rsidR="00E75557" w:rsidRPr="00F749A5" w:rsidRDefault="00197556"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W</w:t>
      </w:r>
      <w:r w:rsidR="009C795B" w:rsidRPr="00F749A5">
        <w:rPr>
          <w:rFonts w:ascii="Times New Roman" w:eastAsia="Times New Roman" w:hAnsi="Times New Roman" w:cs="Times New Roman"/>
          <w:spacing w:val="4"/>
          <w:sz w:val="24"/>
          <w:szCs w:val="24"/>
          <w:lang w:eastAsia="pl-PL"/>
        </w:rPr>
        <w:t xml:space="preserve"> dotychczasowym</w:t>
      </w:r>
      <w:r w:rsidRP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b/>
          <w:spacing w:val="4"/>
          <w:sz w:val="24"/>
          <w:szCs w:val="24"/>
          <w:lang w:eastAsia="pl-PL"/>
        </w:rPr>
        <w:t>art. 30 ust. 5 pkt 2</w:t>
      </w:r>
      <w:r w:rsidR="00E75557" w:rsidRPr="00F749A5">
        <w:rPr>
          <w:rFonts w:ascii="Times New Roman" w:eastAsia="Times New Roman" w:hAnsi="Times New Roman" w:cs="Times New Roman"/>
          <w:spacing w:val="4"/>
          <w:sz w:val="24"/>
          <w:szCs w:val="24"/>
          <w:lang w:eastAsia="pl-PL"/>
        </w:rPr>
        <w:t xml:space="preserve"> </w:t>
      </w:r>
      <w:r w:rsidR="004A5641" w:rsidRPr="00F749A5">
        <w:rPr>
          <w:rFonts w:ascii="Times New Roman" w:eastAsia="Times New Roman" w:hAnsi="Times New Roman" w:cs="Times New Roman"/>
          <w:spacing w:val="4"/>
          <w:sz w:val="24"/>
          <w:szCs w:val="24"/>
          <w:lang w:eastAsia="pl-PL"/>
        </w:rPr>
        <w:t>przewiduje się zmianę polegającą</w:t>
      </w:r>
      <w:r w:rsidR="00E75557" w:rsidRPr="00F749A5">
        <w:rPr>
          <w:rFonts w:ascii="Times New Roman" w:eastAsia="Times New Roman" w:hAnsi="Times New Roman" w:cs="Times New Roman"/>
          <w:spacing w:val="4"/>
          <w:sz w:val="24"/>
          <w:szCs w:val="24"/>
          <w:lang w:eastAsia="pl-PL"/>
        </w:rPr>
        <w:t xml:space="preserve"> na wyłą</w:t>
      </w:r>
      <w:r w:rsidR="00094F15" w:rsidRPr="00F749A5">
        <w:rPr>
          <w:rFonts w:ascii="Times New Roman" w:eastAsia="Times New Roman" w:hAnsi="Times New Roman" w:cs="Times New Roman"/>
          <w:spacing w:val="4"/>
          <w:sz w:val="24"/>
          <w:szCs w:val="24"/>
          <w:lang w:eastAsia="pl-PL"/>
        </w:rPr>
        <w:t>czeniu do odrębnego uregulowania</w:t>
      </w:r>
      <w:r w:rsidR="00E75557" w:rsidRPr="00F749A5">
        <w:rPr>
          <w:rFonts w:ascii="Times New Roman" w:eastAsia="Times New Roman" w:hAnsi="Times New Roman" w:cs="Times New Roman"/>
          <w:spacing w:val="4"/>
          <w:sz w:val="24"/>
          <w:szCs w:val="24"/>
          <w:lang w:eastAsia="pl-PL"/>
        </w:rPr>
        <w:t xml:space="preserve"> sytuacji, w której najemca przekroczy próg dochodowy</w:t>
      </w:r>
      <w:r w:rsidR="00296255" w:rsidRPr="00F749A5">
        <w:rPr>
          <w:rFonts w:ascii="Times New Roman" w:eastAsia="Times New Roman" w:hAnsi="Times New Roman" w:cs="Times New Roman"/>
          <w:spacing w:val="4"/>
          <w:sz w:val="24"/>
          <w:szCs w:val="24"/>
          <w:lang w:eastAsia="pl-PL"/>
        </w:rPr>
        <w:t xml:space="preserve"> uprawniający do najmu w</w:t>
      </w:r>
      <w:r w:rsidR="00F749A5">
        <w:rPr>
          <w:rFonts w:ascii="Times New Roman" w:eastAsia="Times New Roman" w:hAnsi="Times New Roman" w:cs="Times New Roman"/>
          <w:spacing w:val="4"/>
          <w:sz w:val="24"/>
          <w:szCs w:val="24"/>
          <w:lang w:eastAsia="pl-PL"/>
        </w:rPr>
        <w:t xml:space="preserve"> </w:t>
      </w:r>
      <w:r w:rsidR="00296255" w:rsidRPr="00F749A5">
        <w:rPr>
          <w:rFonts w:ascii="Times New Roman" w:eastAsia="Times New Roman" w:hAnsi="Times New Roman" w:cs="Times New Roman"/>
          <w:spacing w:val="4"/>
          <w:sz w:val="24"/>
          <w:szCs w:val="24"/>
          <w:lang w:eastAsia="pl-PL"/>
        </w:rPr>
        <w:t>zasobach TBS</w:t>
      </w:r>
      <w:r w:rsidR="00480349" w:rsidRPr="00F749A5">
        <w:rPr>
          <w:rFonts w:ascii="Times New Roman" w:eastAsia="Times New Roman" w:hAnsi="Times New Roman" w:cs="Times New Roman"/>
          <w:spacing w:val="4"/>
          <w:sz w:val="24"/>
          <w:szCs w:val="24"/>
          <w:lang w:eastAsia="pl-PL"/>
        </w:rPr>
        <w:t>-ów</w:t>
      </w:r>
      <w:r w:rsidR="00E75557" w:rsidRPr="00F749A5">
        <w:rPr>
          <w:rFonts w:ascii="Times New Roman" w:eastAsia="Times New Roman" w:hAnsi="Times New Roman" w:cs="Times New Roman"/>
          <w:spacing w:val="4"/>
          <w:sz w:val="24"/>
          <w:szCs w:val="24"/>
          <w:lang w:eastAsia="pl-PL"/>
        </w:rPr>
        <w:t>. W do</w:t>
      </w:r>
      <w:r w:rsidR="004A5641" w:rsidRPr="00F749A5">
        <w:rPr>
          <w:rFonts w:ascii="Times New Roman" w:eastAsia="Times New Roman" w:hAnsi="Times New Roman" w:cs="Times New Roman"/>
          <w:spacing w:val="4"/>
          <w:sz w:val="24"/>
          <w:szCs w:val="24"/>
          <w:lang w:eastAsia="pl-PL"/>
        </w:rPr>
        <w:t>tychczasowym stanie prawnym</w:t>
      </w:r>
      <w:r w:rsidR="00E75557" w:rsidRPr="00F749A5">
        <w:rPr>
          <w:rFonts w:ascii="Times New Roman" w:eastAsia="Times New Roman" w:hAnsi="Times New Roman" w:cs="Times New Roman"/>
          <w:spacing w:val="4"/>
          <w:sz w:val="24"/>
          <w:szCs w:val="24"/>
          <w:lang w:eastAsia="pl-PL"/>
        </w:rPr>
        <w:t xml:space="preserve"> taki </w:t>
      </w:r>
      <w:r w:rsidR="004A5641" w:rsidRPr="00F749A5">
        <w:rPr>
          <w:rFonts w:ascii="Times New Roman" w:eastAsia="Times New Roman" w:hAnsi="Times New Roman" w:cs="Times New Roman"/>
          <w:spacing w:val="4"/>
          <w:sz w:val="24"/>
          <w:szCs w:val="24"/>
          <w:lang w:eastAsia="pl-PL"/>
        </w:rPr>
        <w:t xml:space="preserve">stan </w:t>
      </w:r>
      <w:r w:rsidR="00E75557" w:rsidRPr="00F749A5">
        <w:rPr>
          <w:rFonts w:ascii="Times New Roman" w:eastAsia="Times New Roman" w:hAnsi="Times New Roman" w:cs="Times New Roman"/>
          <w:spacing w:val="4"/>
          <w:sz w:val="24"/>
          <w:szCs w:val="24"/>
          <w:lang w:eastAsia="pl-PL"/>
        </w:rPr>
        <w:t>uprawniał towa</w:t>
      </w:r>
      <w:r w:rsidRPr="00F749A5">
        <w:rPr>
          <w:rFonts w:ascii="Times New Roman" w:eastAsia="Times New Roman" w:hAnsi="Times New Roman" w:cs="Times New Roman"/>
          <w:spacing w:val="4"/>
          <w:sz w:val="24"/>
          <w:szCs w:val="24"/>
          <w:lang w:eastAsia="pl-PL"/>
        </w:rPr>
        <w:t>rzystwo do wypowiedzenia stawki</w:t>
      </w:r>
      <w:r w:rsidR="00E75557" w:rsidRPr="00F749A5">
        <w:rPr>
          <w:rFonts w:ascii="Times New Roman" w:eastAsia="Times New Roman" w:hAnsi="Times New Roman" w:cs="Times New Roman"/>
          <w:spacing w:val="4"/>
          <w:sz w:val="24"/>
          <w:szCs w:val="24"/>
          <w:lang w:eastAsia="pl-PL"/>
        </w:rPr>
        <w:t xml:space="preserve"> czynszu najmu i określenia jej w nowej wysokości</w:t>
      </w:r>
      <w:r w:rsidRPr="00F749A5">
        <w:rPr>
          <w:rFonts w:ascii="Times New Roman" w:eastAsia="Times New Roman" w:hAnsi="Times New Roman" w:cs="Times New Roman"/>
          <w:spacing w:val="4"/>
          <w:sz w:val="24"/>
          <w:szCs w:val="24"/>
          <w:lang w:eastAsia="pl-PL"/>
        </w:rPr>
        <w:t>, bez uwzględnienia maksymalnej wysokości</w:t>
      </w:r>
      <w:r w:rsidR="00E75557" w:rsidRPr="00F749A5">
        <w:rPr>
          <w:rFonts w:ascii="Times New Roman" w:eastAsia="Times New Roman" w:hAnsi="Times New Roman" w:cs="Times New Roman"/>
          <w:spacing w:val="4"/>
          <w:sz w:val="24"/>
          <w:szCs w:val="24"/>
          <w:lang w:eastAsia="pl-PL"/>
        </w:rPr>
        <w:t xml:space="preserve"> dopuszczalnej w za</w:t>
      </w:r>
      <w:r w:rsidR="00094F15" w:rsidRPr="00F749A5">
        <w:rPr>
          <w:rFonts w:ascii="Times New Roman" w:eastAsia="Times New Roman" w:hAnsi="Times New Roman" w:cs="Times New Roman"/>
          <w:spacing w:val="4"/>
          <w:sz w:val="24"/>
          <w:szCs w:val="24"/>
          <w:lang w:eastAsia="pl-PL"/>
        </w:rPr>
        <w:t>sobach TBS</w:t>
      </w:r>
      <w:r w:rsidRPr="00F749A5">
        <w:rPr>
          <w:rFonts w:ascii="Times New Roman" w:eastAsia="Times New Roman" w:hAnsi="Times New Roman" w:cs="Times New Roman"/>
          <w:spacing w:val="4"/>
          <w:sz w:val="24"/>
          <w:szCs w:val="24"/>
          <w:lang w:eastAsia="pl-PL"/>
        </w:rPr>
        <w:t>-ów</w:t>
      </w:r>
      <w:r w:rsidR="00E75557" w:rsidRPr="00F749A5">
        <w:rPr>
          <w:rFonts w:ascii="Times New Roman" w:eastAsia="Times New Roman" w:hAnsi="Times New Roman" w:cs="Times New Roman"/>
          <w:spacing w:val="4"/>
          <w:sz w:val="24"/>
          <w:szCs w:val="24"/>
          <w:lang w:eastAsia="pl-PL"/>
        </w:rPr>
        <w:t>. Z uwagi jednak na fakt, że formalne polepszenie sytuacji najemcy może mieć charakter nieznaczny (</w:t>
      </w:r>
      <w:r w:rsidR="004A5641" w:rsidRPr="00F749A5">
        <w:rPr>
          <w:rFonts w:ascii="Times New Roman" w:eastAsia="Times New Roman" w:hAnsi="Times New Roman" w:cs="Times New Roman"/>
          <w:spacing w:val="4"/>
          <w:sz w:val="24"/>
          <w:szCs w:val="24"/>
          <w:lang w:eastAsia="pl-PL"/>
        </w:rPr>
        <w:t>nawet przekroczenie o 1</w:t>
      </w:r>
      <w:r w:rsidR="00AD297B">
        <w:rPr>
          <w:rFonts w:ascii="Times New Roman" w:eastAsia="Times New Roman" w:hAnsi="Times New Roman" w:cs="Times New Roman"/>
          <w:spacing w:val="4"/>
          <w:sz w:val="24"/>
          <w:szCs w:val="24"/>
          <w:lang w:eastAsia="pl-PL"/>
        </w:rPr>
        <w:t xml:space="preserve"> </w:t>
      </w:r>
      <w:r w:rsidR="00E75557" w:rsidRPr="00F749A5">
        <w:rPr>
          <w:rFonts w:ascii="Times New Roman" w:eastAsia="Times New Roman" w:hAnsi="Times New Roman" w:cs="Times New Roman"/>
          <w:spacing w:val="4"/>
          <w:sz w:val="24"/>
          <w:szCs w:val="24"/>
          <w:lang w:eastAsia="pl-PL"/>
        </w:rPr>
        <w:t>zł progu powoduje automatyzm zmiany stawki czynszu),</w:t>
      </w:r>
      <w:r w:rsidR="00094F15" w:rsidRPr="00F749A5">
        <w:rPr>
          <w:rFonts w:ascii="Times New Roman" w:eastAsia="Times New Roman" w:hAnsi="Times New Roman" w:cs="Times New Roman"/>
          <w:spacing w:val="4"/>
          <w:sz w:val="24"/>
          <w:szCs w:val="24"/>
          <w:lang w:eastAsia="pl-PL"/>
        </w:rPr>
        <w:t xml:space="preserve"> a</w:t>
      </w:r>
      <w:r w:rsidR="00F749A5">
        <w:rPr>
          <w:rFonts w:ascii="Times New Roman" w:eastAsia="Times New Roman" w:hAnsi="Times New Roman" w:cs="Times New Roman"/>
          <w:spacing w:val="4"/>
          <w:sz w:val="24"/>
          <w:szCs w:val="24"/>
          <w:lang w:eastAsia="pl-PL"/>
        </w:rPr>
        <w:t xml:space="preserve"> </w:t>
      </w:r>
      <w:r w:rsidR="00E75557" w:rsidRPr="00F749A5">
        <w:rPr>
          <w:rFonts w:ascii="Times New Roman" w:eastAsia="Times New Roman" w:hAnsi="Times New Roman" w:cs="Times New Roman"/>
          <w:spacing w:val="4"/>
          <w:sz w:val="24"/>
          <w:szCs w:val="24"/>
          <w:lang w:eastAsia="pl-PL"/>
        </w:rPr>
        <w:t>rzeczywista sytuacja materialna najemcy i jego rodziny nie ulega znaczące</w:t>
      </w:r>
      <w:r w:rsidRPr="00F749A5">
        <w:rPr>
          <w:rFonts w:ascii="Times New Roman" w:eastAsia="Times New Roman" w:hAnsi="Times New Roman" w:cs="Times New Roman"/>
          <w:spacing w:val="4"/>
          <w:sz w:val="24"/>
          <w:szCs w:val="24"/>
          <w:lang w:eastAsia="pl-PL"/>
        </w:rPr>
        <w:t>j</w:t>
      </w:r>
      <w:r w:rsidR="00E75557" w:rsidRPr="00F749A5">
        <w:rPr>
          <w:rFonts w:ascii="Times New Roman" w:eastAsia="Times New Roman" w:hAnsi="Times New Roman" w:cs="Times New Roman"/>
          <w:spacing w:val="4"/>
          <w:sz w:val="24"/>
          <w:szCs w:val="24"/>
          <w:lang w:eastAsia="pl-PL"/>
        </w:rPr>
        <w:t xml:space="preserve"> zmianie, </w:t>
      </w:r>
      <w:r w:rsidR="00A57591" w:rsidRPr="00F749A5">
        <w:rPr>
          <w:rFonts w:ascii="Times New Roman" w:eastAsia="Times New Roman" w:hAnsi="Times New Roman" w:cs="Times New Roman"/>
          <w:spacing w:val="4"/>
          <w:sz w:val="24"/>
          <w:szCs w:val="24"/>
          <w:lang w:eastAsia="pl-PL"/>
        </w:rPr>
        <w:t>uzasadnione jest wprowadzenie zasady proporcjonalnego podwyższenia czynszu w stosunku do dochodów.</w:t>
      </w:r>
      <w:r w:rsidR="00F749A5">
        <w:rPr>
          <w:rFonts w:ascii="Times New Roman" w:eastAsia="Times New Roman" w:hAnsi="Times New Roman" w:cs="Times New Roman"/>
          <w:spacing w:val="4"/>
          <w:sz w:val="24"/>
          <w:szCs w:val="24"/>
          <w:lang w:eastAsia="pl-PL"/>
        </w:rPr>
        <w:t xml:space="preserve"> </w:t>
      </w:r>
    </w:p>
    <w:p w:rsidR="00DD6D41" w:rsidRPr="00F749A5" w:rsidRDefault="00E75557"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Wyłączenie z pkt 2 ust. 5 art. 30 sytuacji przekroczeni</w:t>
      </w:r>
      <w:r w:rsidR="00094F15" w:rsidRPr="00F749A5">
        <w:rPr>
          <w:rFonts w:ascii="Times New Roman" w:eastAsia="Times New Roman" w:hAnsi="Times New Roman" w:cs="Times New Roman"/>
          <w:spacing w:val="4"/>
          <w:sz w:val="24"/>
          <w:szCs w:val="24"/>
          <w:lang w:eastAsia="pl-PL"/>
        </w:rPr>
        <w:t>a progu dochodowego i określenie</w:t>
      </w:r>
      <w:r w:rsidRPr="00F749A5">
        <w:rPr>
          <w:rFonts w:ascii="Times New Roman" w:eastAsia="Times New Roman" w:hAnsi="Times New Roman" w:cs="Times New Roman"/>
          <w:spacing w:val="4"/>
          <w:sz w:val="24"/>
          <w:szCs w:val="24"/>
          <w:lang w:eastAsia="pl-PL"/>
        </w:rPr>
        <w:t xml:space="preserve"> dla takiej sytuacji nowych konsekwencji prawnych wymaga dodania </w:t>
      </w:r>
      <w:r w:rsidRPr="00F749A5">
        <w:rPr>
          <w:rFonts w:ascii="Times New Roman" w:eastAsia="Times New Roman" w:hAnsi="Times New Roman" w:cs="Times New Roman"/>
          <w:b/>
          <w:spacing w:val="4"/>
          <w:sz w:val="24"/>
          <w:szCs w:val="24"/>
          <w:lang w:eastAsia="pl-PL"/>
        </w:rPr>
        <w:t>pkt 3 w ust. 5 art.</w:t>
      </w:r>
      <w:r w:rsidR="00655511">
        <w:rPr>
          <w:rFonts w:ascii="Times New Roman" w:eastAsia="Times New Roman" w:hAnsi="Times New Roman" w:cs="Times New Roman"/>
          <w:b/>
          <w:spacing w:val="4"/>
          <w:sz w:val="24"/>
          <w:szCs w:val="24"/>
          <w:lang w:eastAsia="pl-PL"/>
        </w:rPr>
        <w:t> </w:t>
      </w:r>
      <w:r w:rsidRPr="00F749A5">
        <w:rPr>
          <w:rFonts w:ascii="Times New Roman" w:eastAsia="Times New Roman" w:hAnsi="Times New Roman" w:cs="Times New Roman"/>
          <w:b/>
          <w:spacing w:val="4"/>
          <w:sz w:val="24"/>
          <w:szCs w:val="24"/>
          <w:lang w:eastAsia="pl-PL"/>
        </w:rPr>
        <w:t>30</w:t>
      </w:r>
      <w:r w:rsidRPr="00F749A5">
        <w:rPr>
          <w:rFonts w:ascii="Times New Roman" w:eastAsia="Times New Roman" w:hAnsi="Times New Roman" w:cs="Times New Roman"/>
          <w:spacing w:val="4"/>
          <w:sz w:val="24"/>
          <w:szCs w:val="24"/>
          <w:lang w:eastAsia="pl-PL"/>
        </w:rPr>
        <w:t>. Ochrona uzasadnionych interesów najem</w:t>
      </w:r>
      <w:r w:rsidR="00197556" w:rsidRPr="00F749A5">
        <w:rPr>
          <w:rFonts w:ascii="Times New Roman" w:eastAsia="Times New Roman" w:hAnsi="Times New Roman" w:cs="Times New Roman"/>
          <w:spacing w:val="4"/>
          <w:sz w:val="24"/>
          <w:szCs w:val="24"/>
          <w:lang w:eastAsia="pl-PL"/>
        </w:rPr>
        <w:t>cy, jak i wynajmującego została</w:t>
      </w:r>
      <w:r w:rsidRPr="00F749A5">
        <w:rPr>
          <w:rFonts w:ascii="Times New Roman" w:eastAsia="Times New Roman" w:hAnsi="Times New Roman" w:cs="Times New Roman"/>
          <w:spacing w:val="4"/>
          <w:sz w:val="24"/>
          <w:szCs w:val="24"/>
          <w:lang w:eastAsia="pl-PL"/>
        </w:rPr>
        <w:t xml:space="preserve"> </w:t>
      </w:r>
      <w:r w:rsidR="00094F15" w:rsidRPr="00F749A5">
        <w:rPr>
          <w:rFonts w:ascii="Times New Roman" w:eastAsia="Times New Roman" w:hAnsi="Times New Roman" w:cs="Times New Roman"/>
          <w:spacing w:val="4"/>
          <w:sz w:val="24"/>
          <w:szCs w:val="24"/>
          <w:lang w:eastAsia="pl-PL"/>
        </w:rPr>
        <w:t>wyważona poprzez określenie, że</w:t>
      </w:r>
      <w:r w:rsid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nową stawkę określa się w wysokości o 1% wyższej od czyn</w:t>
      </w:r>
      <w:r w:rsidR="004A5641" w:rsidRPr="00F749A5">
        <w:rPr>
          <w:rFonts w:ascii="Times New Roman" w:eastAsia="Times New Roman" w:hAnsi="Times New Roman" w:cs="Times New Roman"/>
          <w:spacing w:val="4"/>
          <w:sz w:val="24"/>
          <w:szCs w:val="24"/>
          <w:lang w:eastAsia="pl-PL"/>
        </w:rPr>
        <w:t>szu dotychczasowego za każdy 1%</w:t>
      </w:r>
      <w:r w:rsid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 xml:space="preserve">dochodu gospodarstwa domowego ponad </w:t>
      </w:r>
      <w:r w:rsidRPr="00F749A5">
        <w:rPr>
          <w:rFonts w:ascii="Times New Roman" w:eastAsia="Times New Roman" w:hAnsi="Times New Roman" w:cs="Times New Roman"/>
          <w:spacing w:val="4"/>
          <w:sz w:val="24"/>
          <w:szCs w:val="24"/>
          <w:lang w:eastAsia="pl-PL"/>
        </w:rPr>
        <w:lastRenderedPageBreak/>
        <w:t>wysokość wynikającą z progu dochodoweg</w:t>
      </w:r>
      <w:r w:rsidR="00DD6D41" w:rsidRPr="00F749A5">
        <w:rPr>
          <w:rFonts w:ascii="Times New Roman" w:eastAsia="Times New Roman" w:hAnsi="Times New Roman" w:cs="Times New Roman"/>
          <w:spacing w:val="4"/>
          <w:sz w:val="24"/>
          <w:szCs w:val="24"/>
          <w:lang w:eastAsia="pl-PL"/>
        </w:rPr>
        <w:t>o.</w:t>
      </w:r>
      <w:r w:rsidR="009C795B" w:rsidRPr="00F749A5">
        <w:rPr>
          <w:rFonts w:ascii="Times New Roman" w:eastAsia="Times New Roman" w:hAnsi="Times New Roman" w:cs="Times New Roman"/>
          <w:spacing w:val="4"/>
          <w:sz w:val="24"/>
          <w:szCs w:val="24"/>
          <w:lang w:eastAsia="pl-PL"/>
        </w:rPr>
        <w:t xml:space="preserve"> W przypadku przekroczenia progu dochodowego prze</w:t>
      </w:r>
      <w:r w:rsidR="00AD297B">
        <w:rPr>
          <w:rFonts w:ascii="Times New Roman" w:eastAsia="Times New Roman" w:hAnsi="Times New Roman" w:cs="Times New Roman"/>
          <w:spacing w:val="4"/>
          <w:sz w:val="24"/>
          <w:szCs w:val="24"/>
          <w:lang w:eastAsia="pl-PL"/>
        </w:rPr>
        <w:t>z</w:t>
      </w:r>
      <w:r w:rsidR="009C795B" w:rsidRPr="00F749A5">
        <w:rPr>
          <w:rFonts w:ascii="Times New Roman" w:eastAsia="Times New Roman" w:hAnsi="Times New Roman" w:cs="Times New Roman"/>
          <w:spacing w:val="4"/>
          <w:sz w:val="24"/>
          <w:szCs w:val="24"/>
          <w:lang w:eastAsia="pl-PL"/>
        </w:rPr>
        <w:t xml:space="preserve"> najemcę towarzystwo będzie miało obowiązek, a nie jak dotąd możliwość, wypowiedzenia umowy w części dotyczącej czynszu.</w:t>
      </w:r>
    </w:p>
    <w:p w:rsidR="00B16B4A" w:rsidRPr="00F749A5" w:rsidRDefault="00B16B4A"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Jednocześnie w </w:t>
      </w:r>
      <w:r w:rsidRPr="001F1AB1">
        <w:rPr>
          <w:rFonts w:ascii="Times New Roman" w:eastAsia="Times New Roman" w:hAnsi="Times New Roman" w:cs="Times New Roman"/>
          <w:b/>
          <w:spacing w:val="4"/>
          <w:sz w:val="24"/>
          <w:szCs w:val="24"/>
          <w:lang w:eastAsia="pl-PL"/>
        </w:rPr>
        <w:t>art.</w:t>
      </w:r>
      <w:r w:rsidRP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b/>
          <w:spacing w:val="4"/>
          <w:sz w:val="24"/>
          <w:szCs w:val="24"/>
          <w:lang w:eastAsia="pl-PL"/>
        </w:rPr>
        <w:t>30 ust. 5 pkt 2</w:t>
      </w:r>
      <w:r w:rsidRPr="00F749A5">
        <w:rPr>
          <w:rFonts w:ascii="Times New Roman" w:eastAsia="Times New Roman" w:hAnsi="Times New Roman" w:cs="Times New Roman"/>
          <w:spacing w:val="4"/>
          <w:sz w:val="24"/>
          <w:szCs w:val="24"/>
          <w:lang w:eastAsia="pl-PL"/>
        </w:rPr>
        <w:t xml:space="preserve"> zostanie uregulowana sytuacja niezłożenia przez najemcę w terminie deklaracji o dochodach. W takiej sytuacji </w:t>
      </w:r>
      <w:r w:rsidR="00D06F6F" w:rsidRPr="00F749A5">
        <w:rPr>
          <w:rFonts w:ascii="Times New Roman" w:eastAsia="Times New Roman" w:hAnsi="Times New Roman" w:cs="Times New Roman"/>
          <w:spacing w:val="4"/>
          <w:sz w:val="24"/>
          <w:szCs w:val="24"/>
          <w:lang w:eastAsia="pl-PL"/>
        </w:rPr>
        <w:t>TBS</w:t>
      </w:r>
      <w:r w:rsidRPr="00F749A5">
        <w:rPr>
          <w:rFonts w:ascii="Times New Roman" w:eastAsia="Times New Roman" w:hAnsi="Times New Roman" w:cs="Times New Roman"/>
          <w:spacing w:val="4"/>
          <w:sz w:val="24"/>
          <w:szCs w:val="24"/>
          <w:lang w:eastAsia="pl-PL"/>
        </w:rPr>
        <w:t xml:space="preserve"> będzie mogło wypowiedzieć umowę najmu w części dotyczącej czynszu. Brak w tym zakresie obowiązku wypowiedzenia umowy najmu w części dotyczącej czynszu uwzględnia sytuacje niezawinionego przez najemcę przekroczenia terminu na dostarczenie towarzystwu deklaracji</w:t>
      </w:r>
      <w:r w:rsidR="00F76354" w:rsidRP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 xml:space="preserve">o dochodach (chociażby z powodu choroby). </w:t>
      </w:r>
    </w:p>
    <w:p w:rsidR="00B777F6" w:rsidRPr="00F749A5" w:rsidRDefault="004313E1"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W dodanym </w:t>
      </w:r>
      <w:r w:rsidRPr="00F749A5">
        <w:rPr>
          <w:rFonts w:ascii="Times New Roman" w:eastAsia="Times New Roman" w:hAnsi="Times New Roman" w:cs="Times New Roman"/>
          <w:b/>
          <w:spacing w:val="4"/>
          <w:sz w:val="24"/>
          <w:szCs w:val="24"/>
          <w:lang w:eastAsia="pl-PL"/>
        </w:rPr>
        <w:t>pkt 4 w ust. 5 art. 30</w:t>
      </w:r>
      <w:r w:rsidRPr="00F749A5">
        <w:rPr>
          <w:rFonts w:ascii="Times New Roman" w:eastAsia="Times New Roman" w:hAnsi="Times New Roman" w:cs="Times New Roman"/>
          <w:spacing w:val="4"/>
          <w:sz w:val="24"/>
          <w:szCs w:val="24"/>
          <w:lang w:eastAsia="pl-PL"/>
        </w:rPr>
        <w:t xml:space="preserve"> uregulowana została sytuacja uzyskania przez najemcę tytułu prawnego do innego lokalu mieszkalnego w tej samej miejscowości. W porównaniu z aktualną regulacją</w:t>
      </w:r>
      <w:r w:rsidR="009C795B" w:rsidRPr="00F749A5">
        <w:rPr>
          <w:rFonts w:ascii="Times New Roman" w:eastAsia="Times New Roman" w:hAnsi="Times New Roman" w:cs="Times New Roman"/>
          <w:spacing w:val="4"/>
          <w:sz w:val="24"/>
          <w:szCs w:val="24"/>
          <w:lang w:eastAsia="pl-PL"/>
        </w:rPr>
        <w:t xml:space="preserve"> (art. 30 ust. 6)</w:t>
      </w:r>
      <w:r w:rsidRPr="00F749A5">
        <w:rPr>
          <w:rFonts w:ascii="Times New Roman" w:eastAsia="Times New Roman" w:hAnsi="Times New Roman" w:cs="Times New Roman"/>
          <w:spacing w:val="4"/>
          <w:sz w:val="24"/>
          <w:szCs w:val="24"/>
          <w:lang w:eastAsia="pl-PL"/>
        </w:rPr>
        <w:t xml:space="preserve"> </w:t>
      </w:r>
      <w:r w:rsidR="00B777F6" w:rsidRPr="00F749A5">
        <w:rPr>
          <w:rFonts w:ascii="Times New Roman" w:eastAsia="Times New Roman" w:hAnsi="Times New Roman" w:cs="Times New Roman"/>
          <w:spacing w:val="4"/>
          <w:sz w:val="24"/>
          <w:szCs w:val="24"/>
          <w:lang w:eastAsia="pl-PL"/>
        </w:rPr>
        <w:t>wprowadzono konieczność obligatoryjnego zastosowania sankcji</w:t>
      </w:r>
      <w:r w:rsidR="00531751" w:rsidRPr="00F749A5">
        <w:rPr>
          <w:rFonts w:ascii="Times New Roman" w:eastAsia="Times New Roman" w:hAnsi="Times New Roman" w:cs="Times New Roman"/>
          <w:spacing w:val="4"/>
          <w:sz w:val="24"/>
          <w:szCs w:val="24"/>
          <w:lang w:eastAsia="pl-PL"/>
        </w:rPr>
        <w:t xml:space="preserve">. W przypadku zaistnienia ww. przesłanki ustawa będzie zobowiązywała towarzystwo do </w:t>
      </w:r>
      <w:r w:rsidR="00B777F6" w:rsidRPr="00F749A5">
        <w:rPr>
          <w:rFonts w:ascii="Times New Roman" w:eastAsia="Times New Roman" w:hAnsi="Times New Roman" w:cs="Times New Roman"/>
          <w:spacing w:val="4"/>
          <w:sz w:val="24"/>
          <w:szCs w:val="24"/>
          <w:lang w:eastAsia="pl-PL"/>
        </w:rPr>
        <w:t>wypowiedzenia umowy najmu w części dotyczącej czynszu</w:t>
      </w:r>
      <w:r w:rsidR="00531751" w:rsidRPr="00F749A5">
        <w:rPr>
          <w:rFonts w:ascii="Times New Roman" w:eastAsia="Times New Roman" w:hAnsi="Times New Roman" w:cs="Times New Roman"/>
          <w:spacing w:val="4"/>
          <w:sz w:val="24"/>
          <w:szCs w:val="24"/>
          <w:lang w:eastAsia="pl-PL"/>
        </w:rPr>
        <w:t xml:space="preserve"> lub rozwiązania umowy najmu, pozostawiając właścicielowi zasobu możliwość wyboru właściwego rozwiązania uwzględniającego ocenę zróżnicowanych stanów faktycznych</w:t>
      </w:r>
      <w:r w:rsidR="00B777F6" w:rsidRPr="00F749A5">
        <w:rPr>
          <w:rFonts w:ascii="Times New Roman" w:eastAsia="Times New Roman" w:hAnsi="Times New Roman" w:cs="Times New Roman"/>
          <w:spacing w:val="4"/>
          <w:sz w:val="24"/>
          <w:szCs w:val="24"/>
          <w:lang w:eastAsia="pl-PL"/>
        </w:rPr>
        <w:t>.</w:t>
      </w:r>
      <w:r w:rsidR="001E2186" w:rsidRPr="00F749A5">
        <w:rPr>
          <w:rFonts w:ascii="Times New Roman" w:eastAsia="Times New Roman" w:hAnsi="Times New Roman" w:cs="Times New Roman"/>
          <w:spacing w:val="4"/>
          <w:sz w:val="24"/>
          <w:szCs w:val="24"/>
          <w:lang w:eastAsia="pl-PL"/>
        </w:rPr>
        <w:t xml:space="preserve"> Konsekwencją wprowadzonej zmiany jest uchylenie </w:t>
      </w:r>
      <w:r w:rsidR="001E2186" w:rsidRPr="00F749A5">
        <w:rPr>
          <w:rFonts w:ascii="Times New Roman" w:eastAsia="Times New Roman" w:hAnsi="Times New Roman" w:cs="Times New Roman"/>
          <w:b/>
          <w:spacing w:val="4"/>
          <w:sz w:val="24"/>
          <w:szCs w:val="24"/>
          <w:lang w:eastAsia="pl-PL"/>
        </w:rPr>
        <w:t>ust. 6 w art. 30</w:t>
      </w:r>
      <w:r w:rsidR="001E2186" w:rsidRPr="00F749A5">
        <w:rPr>
          <w:rFonts w:ascii="Times New Roman" w:eastAsia="Times New Roman" w:hAnsi="Times New Roman" w:cs="Times New Roman"/>
          <w:spacing w:val="4"/>
          <w:sz w:val="24"/>
          <w:szCs w:val="24"/>
          <w:lang w:eastAsia="pl-PL"/>
        </w:rPr>
        <w:t xml:space="preserve">. </w:t>
      </w:r>
    </w:p>
    <w:p w:rsidR="00A3077A" w:rsidRPr="00F749A5" w:rsidRDefault="00EE378A"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Dodanie </w:t>
      </w:r>
      <w:r w:rsidR="00A3077A" w:rsidRPr="00F749A5">
        <w:rPr>
          <w:rFonts w:ascii="Times New Roman" w:eastAsia="Times New Roman" w:hAnsi="Times New Roman" w:cs="Times New Roman"/>
          <w:spacing w:val="4"/>
          <w:sz w:val="24"/>
          <w:szCs w:val="24"/>
          <w:lang w:eastAsia="pl-PL"/>
        </w:rPr>
        <w:t xml:space="preserve">w </w:t>
      </w:r>
      <w:r w:rsidR="00A3077A" w:rsidRPr="00F749A5">
        <w:rPr>
          <w:rFonts w:ascii="Times New Roman" w:eastAsia="Times New Roman" w:hAnsi="Times New Roman" w:cs="Times New Roman"/>
          <w:b/>
          <w:spacing w:val="4"/>
          <w:sz w:val="24"/>
          <w:szCs w:val="24"/>
          <w:lang w:eastAsia="pl-PL"/>
        </w:rPr>
        <w:t>art. 30</w:t>
      </w:r>
      <w:r w:rsidR="00A3077A" w:rsidRP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b/>
          <w:spacing w:val="4"/>
          <w:sz w:val="24"/>
          <w:szCs w:val="24"/>
          <w:lang w:eastAsia="pl-PL"/>
        </w:rPr>
        <w:t>ust. 5a</w:t>
      </w:r>
      <w:r w:rsidRPr="00F749A5">
        <w:rPr>
          <w:rFonts w:ascii="Times New Roman" w:eastAsia="Times New Roman" w:hAnsi="Times New Roman" w:cs="Times New Roman"/>
          <w:spacing w:val="4"/>
          <w:sz w:val="24"/>
          <w:szCs w:val="24"/>
          <w:lang w:eastAsia="pl-PL"/>
        </w:rPr>
        <w:t xml:space="preserve"> ma na celu doprecyzowanie zakresu stosowania art. 28 ust. 2 (maksymalna wysokość czynszu) w odniesieniu do przepisów </w:t>
      </w:r>
      <w:r w:rsidR="00FA4500" w:rsidRPr="00F749A5">
        <w:rPr>
          <w:rFonts w:ascii="Times New Roman" w:eastAsia="Times New Roman" w:hAnsi="Times New Roman" w:cs="Times New Roman"/>
          <w:spacing w:val="4"/>
          <w:sz w:val="24"/>
          <w:szCs w:val="24"/>
          <w:lang w:eastAsia="pl-PL"/>
        </w:rPr>
        <w:t xml:space="preserve">umożliwiających zastosowanie innej stawki czynszu w przypadkach określonych w ust. 5. </w:t>
      </w:r>
    </w:p>
    <w:p w:rsidR="00EE378A" w:rsidRPr="00F749A5" w:rsidRDefault="00FA4500"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Ponadto wprowadzenie zasady obligatoryjnego stosowania czynszu wyższego niż dotychczasowy </w:t>
      </w:r>
      <w:r w:rsidR="0040760E" w:rsidRPr="00F749A5">
        <w:rPr>
          <w:rFonts w:ascii="Times New Roman" w:eastAsia="Times New Roman" w:hAnsi="Times New Roman" w:cs="Times New Roman"/>
          <w:spacing w:val="4"/>
          <w:sz w:val="24"/>
          <w:szCs w:val="24"/>
          <w:lang w:eastAsia="pl-PL"/>
        </w:rPr>
        <w:t xml:space="preserve">(art. 30 ust. 5 pkt 3 i 4) </w:t>
      </w:r>
      <w:r w:rsidRPr="00F749A5">
        <w:rPr>
          <w:rFonts w:ascii="Times New Roman" w:eastAsia="Times New Roman" w:hAnsi="Times New Roman" w:cs="Times New Roman"/>
          <w:spacing w:val="4"/>
          <w:sz w:val="24"/>
          <w:szCs w:val="24"/>
          <w:lang w:eastAsia="pl-PL"/>
        </w:rPr>
        <w:t>wymaga uwzględnienia przypadków losowych</w:t>
      </w:r>
      <w:r w:rsidR="00EE130F" w:rsidRPr="00F749A5">
        <w:rPr>
          <w:rFonts w:ascii="Times New Roman" w:eastAsia="Times New Roman" w:hAnsi="Times New Roman" w:cs="Times New Roman"/>
          <w:spacing w:val="4"/>
          <w:sz w:val="24"/>
          <w:szCs w:val="24"/>
          <w:lang w:eastAsia="pl-PL"/>
        </w:rPr>
        <w:t>,</w:t>
      </w:r>
      <w:r w:rsidR="00AD297B">
        <w:rPr>
          <w:rFonts w:ascii="Times New Roman" w:eastAsia="Times New Roman" w:hAnsi="Times New Roman" w:cs="Times New Roman"/>
          <w:spacing w:val="4"/>
          <w:sz w:val="24"/>
          <w:szCs w:val="24"/>
          <w:lang w:eastAsia="pl-PL"/>
        </w:rPr>
        <w:t xml:space="preserve"> jak</w:t>
      </w:r>
      <w:r w:rsidR="00EE130F" w:rsidRPr="00F749A5">
        <w:rPr>
          <w:rFonts w:ascii="Times New Roman" w:eastAsia="Times New Roman" w:hAnsi="Times New Roman" w:cs="Times New Roman"/>
          <w:spacing w:val="4"/>
          <w:sz w:val="24"/>
          <w:szCs w:val="24"/>
          <w:lang w:eastAsia="pl-PL"/>
        </w:rPr>
        <w:t xml:space="preserve"> np.</w:t>
      </w:r>
      <w:r w:rsidR="008D10D8">
        <w:rPr>
          <w:rFonts w:ascii="Times New Roman" w:eastAsia="Times New Roman" w:hAnsi="Times New Roman" w:cs="Times New Roman"/>
          <w:spacing w:val="4"/>
          <w:sz w:val="24"/>
          <w:szCs w:val="24"/>
          <w:lang w:eastAsia="pl-PL"/>
        </w:rPr>
        <w:t> </w:t>
      </w:r>
      <w:r w:rsidR="00EE130F" w:rsidRPr="00F749A5">
        <w:rPr>
          <w:rFonts w:ascii="Times New Roman" w:eastAsia="Times New Roman" w:hAnsi="Times New Roman" w:cs="Times New Roman"/>
          <w:spacing w:val="4"/>
          <w:sz w:val="24"/>
          <w:szCs w:val="24"/>
          <w:lang w:eastAsia="pl-PL"/>
        </w:rPr>
        <w:t xml:space="preserve">utrata pracy, śmierć </w:t>
      </w:r>
      <w:r w:rsidR="00A3077A" w:rsidRPr="00F749A5">
        <w:rPr>
          <w:rFonts w:ascii="Times New Roman" w:eastAsia="Times New Roman" w:hAnsi="Times New Roman" w:cs="Times New Roman"/>
          <w:spacing w:val="4"/>
          <w:sz w:val="24"/>
          <w:szCs w:val="24"/>
          <w:lang w:eastAsia="pl-PL"/>
        </w:rPr>
        <w:t>c</w:t>
      </w:r>
      <w:r w:rsidR="00EE130F" w:rsidRPr="00F749A5">
        <w:rPr>
          <w:rFonts w:ascii="Times New Roman" w:eastAsia="Times New Roman" w:hAnsi="Times New Roman" w:cs="Times New Roman"/>
          <w:spacing w:val="4"/>
          <w:sz w:val="24"/>
          <w:szCs w:val="24"/>
          <w:lang w:eastAsia="pl-PL"/>
        </w:rPr>
        <w:t xml:space="preserve">złonka gospodarstwa domowego najemcy. W takich przypadkach wyłączenie stosowania zasady weryfikacji dochodów najemcy co </w:t>
      </w:r>
      <w:r w:rsidR="0040760E" w:rsidRPr="00F749A5">
        <w:rPr>
          <w:rFonts w:ascii="Times New Roman" w:eastAsia="Times New Roman" w:hAnsi="Times New Roman" w:cs="Times New Roman"/>
          <w:spacing w:val="4"/>
          <w:sz w:val="24"/>
          <w:szCs w:val="24"/>
          <w:lang w:eastAsia="pl-PL"/>
        </w:rPr>
        <w:t>2</w:t>
      </w:r>
      <w:r w:rsidR="00EE130F" w:rsidRPr="00F749A5">
        <w:rPr>
          <w:rFonts w:ascii="Times New Roman" w:eastAsia="Times New Roman" w:hAnsi="Times New Roman" w:cs="Times New Roman"/>
          <w:spacing w:val="4"/>
          <w:sz w:val="24"/>
          <w:szCs w:val="24"/>
          <w:lang w:eastAsia="pl-PL"/>
        </w:rPr>
        <w:t xml:space="preserve"> lata jest uzasadnione </w:t>
      </w:r>
      <w:r w:rsidR="00EE378A" w:rsidRPr="00F749A5">
        <w:rPr>
          <w:rFonts w:ascii="Times New Roman" w:eastAsia="Times New Roman" w:hAnsi="Times New Roman" w:cs="Times New Roman"/>
          <w:spacing w:val="4"/>
          <w:sz w:val="24"/>
          <w:szCs w:val="24"/>
          <w:lang w:eastAsia="pl-PL"/>
        </w:rPr>
        <w:t>o</w:t>
      </w:r>
      <w:r w:rsidR="00EE130F" w:rsidRPr="00F749A5">
        <w:rPr>
          <w:rFonts w:ascii="Times New Roman" w:eastAsia="Times New Roman" w:hAnsi="Times New Roman" w:cs="Times New Roman"/>
          <w:spacing w:val="4"/>
          <w:sz w:val="24"/>
          <w:szCs w:val="24"/>
          <w:lang w:eastAsia="pl-PL"/>
        </w:rPr>
        <w:t xml:space="preserve">siąganiem dochodów niższych niż wykazane w deklaracji najemcy, na podstawie której został ustalony </w:t>
      </w:r>
      <w:r w:rsidR="007C1831" w:rsidRPr="00F749A5">
        <w:rPr>
          <w:rFonts w:ascii="Times New Roman" w:eastAsia="Times New Roman" w:hAnsi="Times New Roman" w:cs="Times New Roman"/>
          <w:spacing w:val="4"/>
          <w:sz w:val="24"/>
          <w:szCs w:val="24"/>
          <w:lang w:eastAsia="pl-PL"/>
        </w:rPr>
        <w:t xml:space="preserve">wyższy </w:t>
      </w:r>
      <w:r w:rsidR="00EE130F" w:rsidRPr="00F749A5">
        <w:rPr>
          <w:rFonts w:ascii="Times New Roman" w:eastAsia="Times New Roman" w:hAnsi="Times New Roman" w:cs="Times New Roman"/>
          <w:spacing w:val="4"/>
          <w:sz w:val="24"/>
          <w:szCs w:val="24"/>
          <w:lang w:eastAsia="pl-PL"/>
        </w:rPr>
        <w:t>czynsz.</w:t>
      </w:r>
      <w:r w:rsidR="00D55139" w:rsidRPr="00F749A5">
        <w:rPr>
          <w:rFonts w:ascii="Times New Roman" w:eastAsia="Times New Roman" w:hAnsi="Times New Roman" w:cs="Times New Roman"/>
          <w:spacing w:val="4"/>
          <w:sz w:val="24"/>
          <w:szCs w:val="24"/>
          <w:lang w:eastAsia="pl-PL"/>
        </w:rPr>
        <w:t xml:space="preserve"> Sytuację tę reguluje dodany w </w:t>
      </w:r>
      <w:r w:rsidR="00D55139" w:rsidRPr="00F749A5">
        <w:rPr>
          <w:rFonts w:ascii="Times New Roman" w:eastAsia="Times New Roman" w:hAnsi="Times New Roman" w:cs="Times New Roman"/>
          <w:b/>
          <w:spacing w:val="4"/>
          <w:sz w:val="24"/>
          <w:szCs w:val="24"/>
          <w:lang w:eastAsia="pl-PL"/>
        </w:rPr>
        <w:t>art. 30 ust. 5b</w:t>
      </w:r>
      <w:r w:rsidR="00D55139" w:rsidRPr="00F749A5">
        <w:rPr>
          <w:rFonts w:ascii="Times New Roman" w:eastAsia="Times New Roman" w:hAnsi="Times New Roman" w:cs="Times New Roman"/>
          <w:spacing w:val="4"/>
          <w:sz w:val="24"/>
          <w:szCs w:val="24"/>
          <w:lang w:eastAsia="pl-PL"/>
        </w:rPr>
        <w:t>.</w:t>
      </w:r>
      <w:r w:rsidR="00EE130F" w:rsidRPr="00F749A5">
        <w:rPr>
          <w:rFonts w:ascii="Times New Roman" w:eastAsia="Times New Roman" w:hAnsi="Times New Roman" w:cs="Times New Roman"/>
          <w:spacing w:val="4"/>
          <w:sz w:val="24"/>
          <w:szCs w:val="24"/>
          <w:lang w:eastAsia="pl-PL"/>
        </w:rPr>
        <w:t xml:space="preserve"> </w:t>
      </w:r>
    </w:p>
    <w:p w:rsidR="00CF56DB" w:rsidRPr="00F749A5" w:rsidRDefault="00CF56DB"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W dodanym do </w:t>
      </w:r>
      <w:r w:rsidRPr="00F749A5">
        <w:rPr>
          <w:rFonts w:ascii="Times New Roman" w:eastAsia="Times New Roman" w:hAnsi="Times New Roman" w:cs="Times New Roman"/>
          <w:b/>
          <w:spacing w:val="4"/>
          <w:sz w:val="24"/>
          <w:szCs w:val="24"/>
          <w:lang w:eastAsia="pl-PL"/>
        </w:rPr>
        <w:t>art. 30 ust. 5c</w:t>
      </w:r>
      <w:r w:rsidRPr="00F749A5">
        <w:rPr>
          <w:rFonts w:ascii="Times New Roman" w:eastAsia="Times New Roman" w:hAnsi="Times New Roman" w:cs="Times New Roman"/>
          <w:spacing w:val="4"/>
          <w:sz w:val="24"/>
          <w:szCs w:val="24"/>
          <w:lang w:eastAsia="pl-PL"/>
        </w:rPr>
        <w:t xml:space="preserve"> przewidziano sytuację, </w:t>
      </w:r>
      <w:r w:rsidR="007C1831" w:rsidRPr="00F749A5">
        <w:rPr>
          <w:rFonts w:ascii="Times New Roman" w:eastAsia="Times New Roman" w:hAnsi="Times New Roman" w:cs="Times New Roman"/>
          <w:spacing w:val="4"/>
          <w:sz w:val="24"/>
          <w:szCs w:val="24"/>
          <w:lang w:eastAsia="pl-PL"/>
        </w:rPr>
        <w:t xml:space="preserve">gdy najemca </w:t>
      </w:r>
      <w:r w:rsidR="001E2186" w:rsidRPr="00F749A5">
        <w:rPr>
          <w:rFonts w:ascii="Times New Roman" w:eastAsia="Times New Roman" w:hAnsi="Times New Roman" w:cs="Times New Roman"/>
          <w:spacing w:val="4"/>
          <w:sz w:val="24"/>
          <w:szCs w:val="24"/>
          <w:lang w:eastAsia="pl-PL"/>
        </w:rPr>
        <w:t>przekrocz</w:t>
      </w:r>
      <w:r w:rsidR="007C1831" w:rsidRPr="00F749A5">
        <w:rPr>
          <w:rFonts w:ascii="Times New Roman" w:eastAsia="Times New Roman" w:hAnsi="Times New Roman" w:cs="Times New Roman"/>
          <w:spacing w:val="4"/>
          <w:sz w:val="24"/>
          <w:szCs w:val="24"/>
          <w:lang w:eastAsia="pl-PL"/>
        </w:rPr>
        <w:t xml:space="preserve">y dozwolony w art. 30 ust. 1 poziom dochodów uprawniających do najmu lokalu wybudowanego w ramach rządowego programu popierania budownictwa mieszkaniowego, </w:t>
      </w:r>
      <w:r w:rsidRPr="00F749A5">
        <w:rPr>
          <w:rFonts w:ascii="Times New Roman" w:eastAsia="Times New Roman" w:hAnsi="Times New Roman" w:cs="Times New Roman"/>
          <w:spacing w:val="4"/>
          <w:sz w:val="24"/>
          <w:szCs w:val="24"/>
          <w:lang w:eastAsia="pl-PL"/>
        </w:rPr>
        <w:t xml:space="preserve">w trzech kolejnych </w:t>
      </w:r>
      <w:r w:rsidR="00A3077A" w:rsidRPr="00F749A5">
        <w:rPr>
          <w:rFonts w:ascii="Times New Roman" w:eastAsia="Times New Roman" w:hAnsi="Times New Roman" w:cs="Times New Roman"/>
          <w:spacing w:val="4"/>
          <w:sz w:val="24"/>
          <w:szCs w:val="24"/>
          <w:lang w:eastAsia="pl-PL"/>
        </w:rPr>
        <w:t xml:space="preserve">deklaracjach składanych co dwa </w:t>
      </w:r>
      <w:r w:rsidRPr="00F749A5">
        <w:rPr>
          <w:rFonts w:ascii="Times New Roman" w:eastAsia="Times New Roman" w:hAnsi="Times New Roman" w:cs="Times New Roman"/>
          <w:spacing w:val="4"/>
          <w:sz w:val="24"/>
          <w:szCs w:val="24"/>
          <w:lang w:eastAsia="pl-PL"/>
        </w:rPr>
        <w:t>lata</w:t>
      </w:r>
      <w:r w:rsidR="001E2186" w:rsidRPr="00F749A5">
        <w:rPr>
          <w:rFonts w:ascii="Times New Roman" w:eastAsia="Times New Roman" w:hAnsi="Times New Roman" w:cs="Times New Roman"/>
          <w:spacing w:val="4"/>
          <w:sz w:val="24"/>
          <w:szCs w:val="24"/>
          <w:lang w:eastAsia="pl-PL"/>
        </w:rPr>
        <w:t>.</w:t>
      </w:r>
      <w:r w:rsidRPr="00F749A5">
        <w:rPr>
          <w:rFonts w:ascii="Times New Roman" w:eastAsia="Times New Roman" w:hAnsi="Times New Roman" w:cs="Times New Roman"/>
          <w:spacing w:val="4"/>
          <w:sz w:val="24"/>
          <w:szCs w:val="24"/>
          <w:lang w:eastAsia="pl-PL"/>
        </w:rPr>
        <w:t xml:space="preserve"> </w:t>
      </w:r>
      <w:r w:rsidR="001E2186" w:rsidRPr="00F749A5">
        <w:rPr>
          <w:rFonts w:ascii="Times New Roman" w:eastAsia="Times New Roman" w:hAnsi="Times New Roman" w:cs="Times New Roman"/>
          <w:spacing w:val="4"/>
          <w:sz w:val="24"/>
          <w:szCs w:val="24"/>
          <w:lang w:eastAsia="pl-PL"/>
        </w:rPr>
        <w:t xml:space="preserve">Przyjęto, że sankcją za przekroczenie w trzech kolejnych </w:t>
      </w:r>
      <w:r w:rsidR="008E1DB0" w:rsidRPr="00F749A5">
        <w:rPr>
          <w:rFonts w:ascii="Times New Roman" w:eastAsia="Times New Roman" w:hAnsi="Times New Roman" w:cs="Times New Roman"/>
          <w:spacing w:val="4"/>
          <w:sz w:val="24"/>
          <w:szCs w:val="24"/>
          <w:lang w:eastAsia="pl-PL"/>
        </w:rPr>
        <w:t xml:space="preserve">deklaracjach </w:t>
      </w:r>
      <w:r w:rsidR="001E2186" w:rsidRPr="00F749A5">
        <w:rPr>
          <w:rFonts w:ascii="Times New Roman" w:eastAsia="Times New Roman" w:hAnsi="Times New Roman" w:cs="Times New Roman"/>
          <w:spacing w:val="4"/>
          <w:sz w:val="24"/>
          <w:szCs w:val="24"/>
          <w:lang w:eastAsia="pl-PL"/>
        </w:rPr>
        <w:t xml:space="preserve">progu dochodowego uprawniającego do najmu w zasobach </w:t>
      </w:r>
      <w:r w:rsidR="00D06F6F" w:rsidRPr="00F749A5">
        <w:rPr>
          <w:rFonts w:ascii="Times New Roman" w:eastAsia="Times New Roman" w:hAnsi="Times New Roman" w:cs="Times New Roman"/>
          <w:spacing w:val="4"/>
          <w:sz w:val="24"/>
          <w:szCs w:val="24"/>
          <w:lang w:eastAsia="pl-PL"/>
        </w:rPr>
        <w:t>TBS</w:t>
      </w:r>
      <w:r w:rsidR="00480349" w:rsidRPr="00F749A5">
        <w:rPr>
          <w:rFonts w:ascii="Times New Roman" w:eastAsia="Times New Roman" w:hAnsi="Times New Roman" w:cs="Times New Roman"/>
          <w:spacing w:val="4"/>
          <w:sz w:val="24"/>
          <w:szCs w:val="24"/>
          <w:lang w:eastAsia="pl-PL"/>
        </w:rPr>
        <w:t>-ów</w:t>
      </w:r>
      <w:r w:rsidR="001E2186" w:rsidRPr="00F749A5">
        <w:rPr>
          <w:rFonts w:ascii="Times New Roman" w:eastAsia="Times New Roman" w:hAnsi="Times New Roman" w:cs="Times New Roman"/>
          <w:spacing w:val="4"/>
          <w:sz w:val="24"/>
          <w:szCs w:val="24"/>
          <w:lang w:eastAsia="pl-PL"/>
        </w:rPr>
        <w:t xml:space="preserve"> –</w:t>
      </w:r>
      <w:r w:rsidR="00F749A5">
        <w:rPr>
          <w:rFonts w:ascii="Times New Roman" w:eastAsia="Times New Roman" w:hAnsi="Times New Roman" w:cs="Times New Roman"/>
          <w:spacing w:val="4"/>
          <w:sz w:val="24"/>
          <w:szCs w:val="24"/>
          <w:lang w:eastAsia="pl-PL"/>
        </w:rPr>
        <w:t xml:space="preserve"> </w:t>
      </w:r>
      <w:r w:rsidR="001E2186" w:rsidRPr="00F749A5">
        <w:rPr>
          <w:rFonts w:ascii="Times New Roman" w:eastAsia="Times New Roman" w:hAnsi="Times New Roman" w:cs="Times New Roman"/>
          <w:spacing w:val="4"/>
          <w:sz w:val="24"/>
          <w:szCs w:val="24"/>
          <w:lang w:eastAsia="pl-PL"/>
        </w:rPr>
        <w:t xml:space="preserve">przy czym – wykazanie w trzeciej deklaracji dochodów przekraczających o </w:t>
      </w:r>
      <w:r w:rsidR="001E2186" w:rsidRPr="00F749A5">
        <w:rPr>
          <w:rFonts w:ascii="Times New Roman" w:eastAsia="Times New Roman" w:hAnsi="Times New Roman" w:cs="Times New Roman"/>
          <w:spacing w:val="4"/>
          <w:sz w:val="24"/>
          <w:szCs w:val="24"/>
          <w:lang w:eastAsia="pl-PL"/>
        </w:rPr>
        <w:lastRenderedPageBreak/>
        <w:t>50% ustawowo określoną wysokość,</w:t>
      </w:r>
      <w:r w:rsidR="00F749A5">
        <w:rPr>
          <w:rFonts w:ascii="Times New Roman" w:eastAsia="Times New Roman" w:hAnsi="Times New Roman" w:cs="Times New Roman"/>
          <w:spacing w:val="4"/>
          <w:sz w:val="24"/>
          <w:szCs w:val="24"/>
          <w:lang w:eastAsia="pl-PL"/>
        </w:rPr>
        <w:t xml:space="preserve"> </w:t>
      </w:r>
      <w:r w:rsidR="001E2186" w:rsidRPr="00F749A5">
        <w:rPr>
          <w:rFonts w:ascii="Times New Roman" w:eastAsia="Times New Roman" w:hAnsi="Times New Roman" w:cs="Times New Roman"/>
          <w:spacing w:val="4"/>
          <w:sz w:val="24"/>
          <w:szCs w:val="24"/>
          <w:lang w:eastAsia="pl-PL"/>
        </w:rPr>
        <w:t>skutkować będzie wypowiedzeniem umowy najmu.</w:t>
      </w:r>
      <w:r w:rsidR="007C1831" w:rsidRPr="00F749A5">
        <w:rPr>
          <w:rFonts w:ascii="Times New Roman" w:eastAsia="Times New Roman" w:hAnsi="Times New Roman" w:cs="Times New Roman"/>
          <w:spacing w:val="4"/>
          <w:sz w:val="24"/>
          <w:szCs w:val="24"/>
          <w:lang w:eastAsia="pl-PL"/>
        </w:rPr>
        <w:t xml:space="preserve"> Rozwiązanie takie pozwoli na zachowanie rotacyjności zasobu, który co do zasady ma być tworzony dla osób średniozamożnych, których nie stać na zaspokojenie swoich potrzeb mieszkaniowych na rynku komercyjnym.</w:t>
      </w:r>
    </w:p>
    <w:p w:rsidR="000D4550" w:rsidRPr="00F749A5" w:rsidRDefault="002C2525" w:rsidP="00F749A5">
      <w:pPr>
        <w:spacing w:before="120"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 xml:space="preserve">Ponadto zmiany wymaga treść </w:t>
      </w:r>
      <w:r w:rsidRPr="00F749A5">
        <w:rPr>
          <w:rFonts w:ascii="Times New Roman" w:eastAsia="Times New Roman" w:hAnsi="Times New Roman" w:cs="Times New Roman"/>
          <w:b/>
          <w:sz w:val="24"/>
          <w:szCs w:val="24"/>
          <w:lang w:eastAsia="pl-PL"/>
        </w:rPr>
        <w:t>art. 33f ust. 6.</w:t>
      </w:r>
      <w:r w:rsidRPr="00F749A5">
        <w:rPr>
          <w:rFonts w:ascii="Times New Roman" w:eastAsia="Times New Roman" w:hAnsi="Times New Roman" w:cs="Times New Roman"/>
          <w:sz w:val="24"/>
          <w:szCs w:val="24"/>
          <w:lang w:eastAsia="pl-PL"/>
        </w:rPr>
        <w:t xml:space="preserve"> Zmiana ta polega na zastąpieniu wyrażenia „udzielonych z Krajowego Funduszu Mieszkaniowego albo udzielonych na podstawie art. 15a ust. 2 pkt 1” wyrażeniem „udzielonych na podstawie wniosków o kredyt złożonych do dnia 30 września 2009 r.”. Wnioski o kredyt złożone w Banku Gospodarstwa Krajowego do dnia 30 września 2009 r. obejmują cały portfel byłego Krajowego Funduszu Mieszkaniowego (zlikwidowanego przepisami ustawy z dnia 2 kwietnia 2009 r.</w:t>
      </w:r>
      <w:r w:rsidR="00697E6F" w:rsidRPr="00F749A5">
        <w:rPr>
          <w:rFonts w:ascii="Times New Roman" w:eastAsia="Times New Roman" w:hAnsi="Times New Roman" w:cs="Times New Roman"/>
          <w:sz w:val="24"/>
          <w:szCs w:val="24"/>
          <w:lang w:eastAsia="pl-PL"/>
        </w:rPr>
        <w:t xml:space="preserve"> </w:t>
      </w:r>
      <w:r w:rsidRPr="00F749A5">
        <w:rPr>
          <w:rFonts w:ascii="Times New Roman" w:eastAsia="Times New Roman" w:hAnsi="Times New Roman" w:cs="Times New Roman"/>
          <w:sz w:val="24"/>
          <w:szCs w:val="24"/>
          <w:lang w:eastAsia="pl-PL"/>
        </w:rPr>
        <w:t xml:space="preserve">o zmianie ustawy o poręczeniach i gwarancjach udzielanych przez Skarb Państwa oraz niektóre osoby prawne, ustawy o Banku Gospodarstwa Krajowego oraz niektórych innych ustaw - Dz. U. Nr 65, poz. 545), jak również kredyty udzielone przez Bank po likwidacji KFM. Zgodnie z art. 17 ust. 4 ustawy z dnia 2 kwietnia 2009 r. o zmianie ustawy o poręczeniach i gwarancjach udzielanych przez Skarb Państwa (…), Bank Gospodarstwa Krajowego jest zobowiązany udzielać kredytów i dokonywać ich wypłat na podstawie wniosków złożonych do dnia 30 września 2009 r., przez </w:t>
      </w:r>
      <w:r w:rsidR="00D06F6F" w:rsidRPr="00F749A5">
        <w:rPr>
          <w:rFonts w:ascii="Times New Roman" w:eastAsia="Times New Roman" w:hAnsi="Times New Roman" w:cs="Times New Roman"/>
          <w:sz w:val="24"/>
          <w:szCs w:val="24"/>
          <w:lang w:eastAsia="pl-PL"/>
        </w:rPr>
        <w:t>TBS-y</w:t>
      </w:r>
      <w:r w:rsidRPr="00F749A5">
        <w:rPr>
          <w:rFonts w:ascii="Times New Roman" w:eastAsia="Times New Roman" w:hAnsi="Times New Roman" w:cs="Times New Roman"/>
          <w:sz w:val="24"/>
          <w:szCs w:val="24"/>
          <w:lang w:eastAsia="pl-PL"/>
        </w:rPr>
        <w:t xml:space="preserve">, spółdzielnie mieszkaniowe oraz gminy na cele i na warunkach określonych w </w:t>
      </w:r>
      <w:hyperlink r:id="rId12" w:anchor="hiperlinkText.rpc?hiperlink=type=tresc:nro=Powszechny.109918:ver=14&amp;full=1" w:tgtFrame="_parent" w:history="1">
        <w:r w:rsidRPr="00F749A5">
          <w:rPr>
            <w:rFonts w:ascii="Times New Roman" w:eastAsia="Times New Roman" w:hAnsi="Times New Roman" w:cs="Times New Roman"/>
            <w:sz w:val="24"/>
            <w:szCs w:val="24"/>
            <w:lang w:eastAsia="pl-PL"/>
          </w:rPr>
          <w:t>ustawie</w:t>
        </w:r>
      </w:hyperlink>
      <w:r w:rsidRPr="00F749A5">
        <w:rPr>
          <w:rFonts w:ascii="Times New Roman" w:eastAsia="Times New Roman" w:hAnsi="Times New Roman" w:cs="Times New Roman"/>
          <w:sz w:val="24"/>
          <w:szCs w:val="24"/>
          <w:lang w:eastAsia="pl-PL"/>
        </w:rPr>
        <w:t xml:space="preserve"> o niektórych formach popierania budownictwa mieszkaniowego, w brzmieniu obowiązującym przed dniem wejścia w życie niniejszej ustawy. Przepisy wykonawcze wydane na podstawie przepisów obowiązujących przed likwidacją KFM (rozporządzenie Rady Ministrów z dnia 7 listopada 2007 r. w sprawie warunków i trybu udzielania kredytów i pożyczek ze środków Krajowego Funduszu Mieszkaniowego oraz niektórych wymagań dotyczących lokali i budynków finansowanych przy udziale tych środków) pozwalały na skład</w:t>
      </w:r>
      <w:r w:rsidR="00853AF8" w:rsidRPr="00F749A5">
        <w:rPr>
          <w:rFonts w:ascii="Times New Roman" w:eastAsia="Times New Roman" w:hAnsi="Times New Roman" w:cs="Times New Roman"/>
          <w:sz w:val="24"/>
          <w:szCs w:val="24"/>
          <w:lang w:eastAsia="pl-PL"/>
        </w:rPr>
        <w:t>anie wniosków w Banku w okresie</w:t>
      </w:r>
      <w:r w:rsidRPr="00F749A5">
        <w:rPr>
          <w:rFonts w:ascii="Times New Roman" w:eastAsia="Times New Roman" w:hAnsi="Times New Roman" w:cs="Times New Roman"/>
          <w:sz w:val="24"/>
          <w:szCs w:val="24"/>
          <w:lang w:eastAsia="pl-PL"/>
        </w:rPr>
        <w:t xml:space="preserve"> od 1 sierpnia do 30 września każdego roku.</w:t>
      </w:r>
      <w:r w:rsidR="000D4550" w:rsidRPr="00F749A5">
        <w:rPr>
          <w:rFonts w:ascii="Times New Roman" w:eastAsia="Times New Roman" w:hAnsi="Times New Roman" w:cs="Times New Roman"/>
          <w:sz w:val="24"/>
          <w:szCs w:val="24"/>
          <w:lang w:eastAsia="pl-PL"/>
        </w:rPr>
        <w:t xml:space="preserve"> </w:t>
      </w:r>
    </w:p>
    <w:p w:rsidR="000D4550" w:rsidRPr="00F749A5" w:rsidRDefault="008666A5" w:rsidP="00F749A5">
      <w:pPr>
        <w:spacing w:before="120"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 xml:space="preserve">Pomimo zmian wprowadzonych w aktualnym rozdziale 2a ustawy, </w:t>
      </w:r>
      <w:r w:rsidR="00FC519B" w:rsidRPr="00F749A5">
        <w:rPr>
          <w:rFonts w:ascii="Times New Roman" w:eastAsia="Times New Roman" w:hAnsi="Times New Roman" w:cs="Times New Roman"/>
          <w:sz w:val="24"/>
          <w:szCs w:val="24"/>
          <w:lang w:eastAsia="pl-PL"/>
        </w:rPr>
        <w:t>których celem jest</w:t>
      </w:r>
      <w:r w:rsidRPr="00F749A5">
        <w:rPr>
          <w:rFonts w:ascii="Times New Roman" w:eastAsia="Times New Roman" w:hAnsi="Times New Roman" w:cs="Times New Roman"/>
          <w:sz w:val="24"/>
          <w:szCs w:val="24"/>
          <w:lang w:eastAsia="pl-PL"/>
        </w:rPr>
        <w:t xml:space="preserve"> uruchomienie </w:t>
      </w:r>
      <w:r w:rsidR="00FC519B" w:rsidRPr="00F749A5">
        <w:rPr>
          <w:rFonts w:ascii="Times New Roman" w:eastAsia="Times New Roman" w:hAnsi="Times New Roman" w:cs="Times New Roman"/>
          <w:sz w:val="24"/>
          <w:szCs w:val="24"/>
          <w:lang w:eastAsia="pl-PL"/>
        </w:rPr>
        <w:t xml:space="preserve">konkretnego </w:t>
      </w:r>
      <w:r w:rsidR="003C092C" w:rsidRPr="00F749A5">
        <w:rPr>
          <w:rFonts w:ascii="Times New Roman" w:eastAsia="Times New Roman" w:hAnsi="Times New Roman" w:cs="Times New Roman"/>
          <w:sz w:val="24"/>
          <w:szCs w:val="24"/>
          <w:lang w:eastAsia="pl-PL"/>
        </w:rPr>
        <w:t>rządowego programu wsparcia społecznego budownictwa czynszowego, w art. 33f ust. 6 ustawy o niektórych formach… proponuje się pozostawienie bez zmian sformułowania wskazującego „</w:t>
      </w:r>
      <w:r w:rsidR="003C092C" w:rsidRPr="00F749A5">
        <w:rPr>
          <w:rFonts w:ascii="Times New Roman" w:hAnsi="Times New Roman" w:cs="Times New Roman"/>
          <w:sz w:val="24"/>
          <w:szCs w:val="24"/>
        </w:rPr>
        <w:t>rządowe programy” popierania budownictwa mieszkaniowego jako</w:t>
      </w:r>
      <w:r w:rsidR="003C092C" w:rsidRPr="00F749A5">
        <w:rPr>
          <w:rFonts w:ascii="Times New Roman" w:eastAsia="Times New Roman" w:hAnsi="Times New Roman" w:cs="Times New Roman"/>
          <w:sz w:val="24"/>
          <w:szCs w:val="24"/>
          <w:lang w:eastAsia="pl-PL"/>
        </w:rPr>
        <w:t xml:space="preserve"> cel określonego w tym przepisie zobowiązania. </w:t>
      </w:r>
      <w:r w:rsidR="00FC519B" w:rsidRPr="00F749A5">
        <w:rPr>
          <w:rFonts w:ascii="Times New Roman" w:eastAsia="Times New Roman" w:hAnsi="Times New Roman" w:cs="Times New Roman"/>
          <w:sz w:val="24"/>
          <w:szCs w:val="24"/>
          <w:lang w:eastAsia="pl-PL"/>
        </w:rPr>
        <w:t>Szerzej określony zakres przeznaczania środków</w:t>
      </w:r>
      <w:r w:rsidR="003C092C" w:rsidRPr="00F749A5">
        <w:rPr>
          <w:rFonts w:ascii="Times New Roman" w:eastAsia="Times New Roman" w:hAnsi="Times New Roman" w:cs="Times New Roman"/>
          <w:sz w:val="24"/>
          <w:szCs w:val="24"/>
          <w:lang w:eastAsia="pl-PL"/>
        </w:rPr>
        <w:t xml:space="preserve"> </w:t>
      </w:r>
      <w:r w:rsidR="00FC519B" w:rsidRPr="00F749A5">
        <w:rPr>
          <w:rFonts w:ascii="Times New Roman" w:eastAsia="Times New Roman" w:hAnsi="Times New Roman" w:cs="Times New Roman"/>
          <w:sz w:val="24"/>
          <w:szCs w:val="24"/>
          <w:lang w:eastAsia="pl-PL"/>
        </w:rPr>
        <w:t xml:space="preserve">koresponduje z przepisami </w:t>
      </w:r>
      <w:r w:rsidR="003C092C" w:rsidRPr="00F749A5">
        <w:rPr>
          <w:rFonts w:ascii="Times New Roman" w:eastAsia="Times New Roman" w:hAnsi="Times New Roman" w:cs="Times New Roman"/>
          <w:sz w:val="24"/>
          <w:szCs w:val="24"/>
          <w:lang w:eastAsia="pl-PL"/>
        </w:rPr>
        <w:t>ustaw</w:t>
      </w:r>
      <w:r w:rsidR="00FC519B" w:rsidRPr="00F749A5">
        <w:rPr>
          <w:rFonts w:ascii="Times New Roman" w:eastAsia="Times New Roman" w:hAnsi="Times New Roman" w:cs="Times New Roman"/>
          <w:sz w:val="24"/>
          <w:szCs w:val="24"/>
          <w:lang w:eastAsia="pl-PL"/>
        </w:rPr>
        <w:t>y</w:t>
      </w:r>
      <w:r w:rsidR="003C092C" w:rsidRPr="00F749A5">
        <w:rPr>
          <w:rFonts w:ascii="Times New Roman" w:eastAsia="Times New Roman" w:hAnsi="Times New Roman" w:cs="Times New Roman"/>
          <w:sz w:val="24"/>
          <w:szCs w:val="24"/>
          <w:lang w:eastAsia="pl-PL"/>
        </w:rPr>
        <w:t xml:space="preserve"> z dn</w:t>
      </w:r>
      <w:r w:rsidR="00AD297B">
        <w:rPr>
          <w:rFonts w:ascii="Times New Roman" w:eastAsia="Times New Roman" w:hAnsi="Times New Roman" w:cs="Times New Roman"/>
          <w:sz w:val="24"/>
          <w:szCs w:val="24"/>
          <w:lang w:eastAsia="pl-PL"/>
        </w:rPr>
        <w:t>ia</w:t>
      </w:r>
      <w:r w:rsidR="003C092C" w:rsidRPr="00F749A5">
        <w:rPr>
          <w:rFonts w:ascii="Times New Roman" w:eastAsia="Times New Roman" w:hAnsi="Times New Roman" w:cs="Times New Roman"/>
          <w:sz w:val="24"/>
          <w:szCs w:val="24"/>
          <w:lang w:eastAsia="pl-PL"/>
        </w:rPr>
        <w:t xml:space="preserve"> 14 marca 2003 r. o Banku Gospodarstwa Krajowego, w szczególności z art. 5 ust. 1 pkt 7 ustawy o BGK, zgodnie z którym do zadań Banku należy m.in. „wspieranie rozwoju budownictwa </w:t>
      </w:r>
      <w:r w:rsidR="003C092C" w:rsidRPr="00F749A5">
        <w:rPr>
          <w:rFonts w:ascii="Times New Roman" w:eastAsia="Times New Roman" w:hAnsi="Times New Roman" w:cs="Times New Roman"/>
          <w:sz w:val="24"/>
          <w:szCs w:val="24"/>
          <w:lang w:eastAsia="pl-PL"/>
        </w:rPr>
        <w:lastRenderedPageBreak/>
        <w:t xml:space="preserve">mieszkaniowego, w szczególności budownictwa mającego na celu budowę lokali mieszkalnych na wynajem, zgodnie z odrębnymi przepisami lub w ramach realizacji rządowych programów”. </w:t>
      </w:r>
    </w:p>
    <w:p w:rsidR="00561802" w:rsidRPr="00F749A5" w:rsidRDefault="00561802" w:rsidP="00F749A5">
      <w:pPr>
        <w:spacing w:before="120"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z w:val="24"/>
          <w:szCs w:val="24"/>
          <w:lang w:eastAsia="pl-PL"/>
        </w:rPr>
        <w:t xml:space="preserve">Treść </w:t>
      </w:r>
      <w:r w:rsidRPr="00F749A5">
        <w:rPr>
          <w:rFonts w:ascii="Times New Roman" w:eastAsia="Times New Roman" w:hAnsi="Times New Roman" w:cs="Times New Roman"/>
          <w:b/>
          <w:sz w:val="24"/>
          <w:szCs w:val="24"/>
          <w:lang w:eastAsia="pl-PL"/>
        </w:rPr>
        <w:t xml:space="preserve">art. 2 </w:t>
      </w:r>
      <w:r w:rsidR="004415E8" w:rsidRPr="00F749A5">
        <w:rPr>
          <w:rFonts w:ascii="Times New Roman" w:eastAsia="Times New Roman" w:hAnsi="Times New Roman" w:cs="Times New Roman"/>
          <w:b/>
          <w:sz w:val="24"/>
          <w:szCs w:val="24"/>
          <w:lang w:eastAsia="pl-PL"/>
        </w:rPr>
        <w:t xml:space="preserve">projektu </w:t>
      </w:r>
      <w:r w:rsidRPr="00F749A5">
        <w:rPr>
          <w:rFonts w:ascii="Times New Roman" w:eastAsia="Times New Roman" w:hAnsi="Times New Roman" w:cs="Times New Roman"/>
          <w:b/>
          <w:sz w:val="24"/>
          <w:szCs w:val="24"/>
          <w:lang w:eastAsia="pl-PL"/>
        </w:rPr>
        <w:t>nowelizacji</w:t>
      </w:r>
      <w:r w:rsidRPr="00F749A5">
        <w:rPr>
          <w:rFonts w:ascii="Times New Roman" w:eastAsia="Times New Roman" w:hAnsi="Times New Roman" w:cs="Times New Roman"/>
          <w:sz w:val="24"/>
          <w:szCs w:val="24"/>
          <w:lang w:eastAsia="pl-PL"/>
        </w:rPr>
        <w:t xml:space="preserve"> jest związana z projektowaną zmianą modelu finansowania dopłat do preferencyjnych kredytów lub obligacji</w:t>
      </w:r>
      <w:r w:rsidR="00AD297B">
        <w:rPr>
          <w:rFonts w:ascii="Times New Roman" w:eastAsia="Times New Roman" w:hAnsi="Times New Roman" w:cs="Times New Roman"/>
          <w:sz w:val="24"/>
          <w:szCs w:val="24"/>
          <w:lang w:eastAsia="pl-PL"/>
        </w:rPr>
        <w:t>,</w:t>
      </w:r>
      <w:r w:rsidRPr="00F749A5">
        <w:rPr>
          <w:rFonts w:ascii="Times New Roman" w:eastAsia="Times New Roman" w:hAnsi="Times New Roman" w:cs="Times New Roman"/>
          <w:sz w:val="24"/>
          <w:szCs w:val="24"/>
          <w:lang w:eastAsia="pl-PL"/>
        </w:rPr>
        <w:t xml:space="preserve"> wymaga również uwzględnienia zmian w ustawie z dnia 5 grudnia 2002 r. o dopłatach do oprocentowania kredytów o stałej stopie procentowej (Dz. U. z 2014 r. poz. 711). Do wydatków, które mogą być ponoszone z Funduszu Dopłat, określonych w art. 5 ust. 3 pkt 1c dodano: „dopłaty do oprocentowania kredytów lub obligacji w ramach realizacji programu rządowego popierania budownictwa mieszkaniowego, o którym mowa w ustawie z dnia 26 października 1995</w:t>
      </w:r>
      <w:r w:rsidR="00AD297B">
        <w:rPr>
          <w:rFonts w:ascii="Times New Roman" w:eastAsia="Times New Roman" w:hAnsi="Times New Roman" w:cs="Times New Roman"/>
          <w:sz w:val="24"/>
          <w:szCs w:val="24"/>
          <w:lang w:eastAsia="pl-PL"/>
        </w:rPr>
        <w:t xml:space="preserve"> r.</w:t>
      </w:r>
      <w:r w:rsidRPr="00F749A5">
        <w:rPr>
          <w:rFonts w:ascii="Times New Roman" w:eastAsia="Times New Roman" w:hAnsi="Times New Roman" w:cs="Times New Roman"/>
          <w:sz w:val="24"/>
          <w:szCs w:val="24"/>
          <w:lang w:eastAsia="pl-PL"/>
        </w:rPr>
        <w:t xml:space="preserve"> o niektórych formach popieran</w:t>
      </w:r>
      <w:r w:rsidR="008B65FB" w:rsidRPr="00F749A5">
        <w:rPr>
          <w:rFonts w:ascii="Times New Roman" w:eastAsia="Times New Roman" w:hAnsi="Times New Roman" w:cs="Times New Roman"/>
          <w:sz w:val="24"/>
          <w:szCs w:val="24"/>
          <w:lang w:eastAsia="pl-PL"/>
        </w:rPr>
        <w:t>ia budownictwa mieszkaniowego (D</w:t>
      </w:r>
      <w:r w:rsidRPr="00F749A5">
        <w:rPr>
          <w:rFonts w:ascii="Times New Roman" w:eastAsia="Times New Roman" w:hAnsi="Times New Roman" w:cs="Times New Roman"/>
          <w:sz w:val="24"/>
          <w:szCs w:val="24"/>
          <w:lang w:eastAsia="pl-PL"/>
        </w:rPr>
        <w:t xml:space="preserve">z. U. z 2013 r. poz. 255). </w:t>
      </w:r>
    </w:p>
    <w:p w:rsidR="005A2F31" w:rsidRPr="00F749A5" w:rsidRDefault="005A2F31"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Z uwagi na przewidzianą w projekcie ustawy propozycję zmiany wysokości partycypacji wnoszonej przez najemcę do </w:t>
      </w:r>
      <w:r w:rsidR="007C1831" w:rsidRPr="00F749A5">
        <w:rPr>
          <w:rFonts w:ascii="Times New Roman" w:eastAsia="Times New Roman" w:hAnsi="Times New Roman" w:cs="Times New Roman"/>
          <w:spacing w:val="4"/>
          <w:sz w:val="24"/>
          <w:szCs w:val="24"/>
          <w:lang w:eastAsia="pl-PL"/>
        </w:rPr>
        <w:t>20</w:t>
      </w:r>
      <w:r w:rsidRPr="00F749A5">
        <w:rPr>
          <w:rFonts w:ascii="Times New Roman" w:eastAsia="Times New Roman" w:hAnsi="Times New Roman" w:cs="Times New Roman"/>
          <w:spacing w:val="4"/>
          <w:sz w:val="24"/>
          <w:szCs w:val="24"/>
          <w:lang w:eastAsia="pl-PL"/>
        </w:rPr>
        <w:t>% kosztów budowy lokalu, nowelizacją objęto również ustawę</w:t>
      </w:r>
      <w:r w:rsid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 xml:space="preserve">z dnia </w:t>
      </w:r>
      <w:r w:rsidRPr="00F749A5">
        <w:rPr>
          <w:rFonts w:ascii="Times New Roman" w:hAnsi="Times New Roman" w:cs="Times New Roman"/>
          <w:sz w:val="24"/>
          <w:szCs w:val="24"/>
        </w:rPr>
        <w:t xml:space="preserve">30 listopada 1995 r. o pomocy państwa w spłacie niektórych kredytów mieszkaniowych, udzielaniu premii gwarancyjnych oraz refundacji bankom wypłacanych premii gwarancyjnych </w:t>
      </w:r>
      <w:r w:rsidR="001C2951" w:rsidRPr="00F749A5">
        <w:rPr>
          <w:rFonts w:ascii="Times New Roman" w:eastAsia="Times New Roman" w:hAnsi="Times New Roman" w:cs="Times New Roman"/>
          <w:spacing w:val="4"/>
          <w:sz w:val="24"/>
          <w:szCs w:val="24"/>
          <w:lang w:eastAsia="pl-PL"/>
        </w:rPr>
        <w:t xml:space="preserve">(Dz. U. z 2013 r. poz. 763) w zakresie możliwości uzyskania premii gwarancyjnej </w:t>
      </w:r>
      <w:r w:rsidR="001C2951" w:rsidRPr="00F749A5">
        <w:rPr>
          <w:rFonts w:ascii="Times New Roman" w:eastAsia="Times New Roman" w:hAnsi="Times New Roman" w:cs="Times New Roman"/>
          <w:b/>
          <w:spacing w:val="4"/>
          <w:sz w:val="24"/>
          <w:szCs w:val="24"/>
          <w:lang w:eastAsia="pl-PL"/>
        </w:rPr>
        <w:t>(art. 3 ust. 1 pkt 9)</w:t>
      </w:r>
      <w:r w:rsidR="001C2951" w:rsidRPr="00F749A5">
        <w:rPr>
          <w:rFonts w:ascii="Times New Roman" w:eastAsia="Times New Roman" w:hAnsi="Times New Roman" w:cs="Times New Roman"/>
          <w:spacing w:val="4"/>
          <w:sz w:val="24"/>
          <w:szCs w:val="24"/>
          <w:lang w:eastAsia="pl-PL"/>
        </w:rPr>
        <w:t xml:space="preserve">. Projekt przewiduje możliwość uzyskania premii gwarancyjnej w przypadku dokonania wpłaty na podstawie umowy w sprawie partycypacji, o której mowa w </w:t>
      </w:r>
      <w:hyperlink r:id="rId13" w:anchor="hiperlinkText.rpc?hiperlink=type=tresc:nro=Powszechny.1180648:part=a29(a)u1&amp;full=1" w:tgtFrame="_parent" w:history="1">
        <w:r w:rsidR="001C2951" w:rsidRPr="00F749A5">
          <w:rPr>
            <w:rFonts w:ascii="Times New Roman" w:eastAsia="Times New Roman" w:hAnsi="Times New Roman" w:cs="Times New Roman"/>
            <w:spacing w:val="4"/>
            <w:sz w:val="24"/>
            <w:szCs w:val="24"/>
            <w:lang w:eastAsia="pl-PL"/>
          </w:rPr>
          <w:t>art. 29a ust. 1</w:t>
        </w:r>
      </w:hyperlink>
      <w:r w:rsidR="001C2951" w:rsidRPr="00F749A5">
        <w:rPr>
          <w:rFonts w:ascii="Times New Roman" w:eastAsia="Times New Roman" w:hAnsi="Times New Roman" w:cs="Times New Roman"/>
          <w:spacing w:val="4"/>
          <w:sz w:val="24"/>
          <w:szCs w:val="24"/>
          <w:lang w:eastAsia="pl-PL"/>
        </w:rPr>
        <w:t xml:space="preserve"> ustawy z dnia 26 października 1995 r. o niektórych formach popierania budownictwa mieszkaniowego, w wysokości nie niższej niż 10% ostatecznych kosztów budowy, przypadających na dany lokal mieszkalny. Tym samym obniżeniu uległ próg wysokości wniesionej partycypacji z 20% na 10%.</w:t>
      </w:r>
      <w:r w:rsidR="00F749A5">
        <w:rPr>
          <w:rFonts w:ascii="Times New Roman" w:eastAsia="Times New Roman" w:hAnsi="Times New Roman" w:cs="Times New Roman"/>
          <w:spacing w:val="4"/>
          <w:sz w:val="24"/>
          <w:szCs w:val="24"/>
          <w:lang w:eastAsia="pl-PL"/>
        </w:rPr>
        <w:t xml:space="preserve"> </w:t>
      </w:r>
      <w:r w:rsidR="001C2951" w:rsidRPr="00F749A5">
        <w:rPr>
          <w:rFonts w:ascii="Times New Roman" w:eastAsia="Times New Roman" w:hAnsi="Times New Roman" w:cs="Times New Roman"/>
          <w:spacing w:val="4"/>
          <w:sz w:val="24"/>
          <w:szCs w:val="24"/>
          <w:lang w:eastAsia="pl-PL"/>
        </w:rPr>
        <w:t>Ponadto wprowadzenie nowelizacją ustawy o niektórych formach popierania budownictwa mieszkaniowego nowych instrumentów preferencyjnego finansowania społecznego budownictwa czynszowego</w:t>
      </w:r>
      <w:r w:rsidR="00F749A5">
        <w:rPr>
          <w:rFonts w:ascii="Times New Roman" w:eastAsia="Times New Roman" w:hAnsi="Times New Roman" w:cs="Times New Roman"/>
          <w:spacing w:val="4"/>
          <w:sz w:val="24"/>
          <w:szCs w:val="24"/>
          <w:lang w:eastAsia="pl-PL"/>
        </w:rPr>
        <w:t xml:space="preserve"> </w:t>
      </w:r>
      <w:r w:rsidR="001C2951" w:rsidRPr="00F749A5">
        <w:rPr>
          <w:rFonts w:ascii="Times New Roman" w:eastAsia="Times New Roman" w:hAnsi="Times New Roman" w:cs="Times New Roman"/>
          <w:spacing w:val="4"/>
          <w:sz w:val="24"/>
          <w:szCs w:val="24"/>
          <w:lang w:eastAsia="pl-PL"/>
        </w:rPr>
        <w:t xml:space="preserve">powoduje konieczność zmiany również w </w:t>
      </w:r>
      <w:r w:rsidR="001C2951" w:rsidRPr="00F749A5">
        <w:rPr>
          <w:rFonts w:ascii="Times New Roman" w:eastAsia="Times New Roman" w:hAnsi="Times New Roman" w:cs="Times New Roman"/>
          <w:b/>
          <w:spacing w:val="4"/>
          <w:sz w:val="24"/>
          <w:szCs w:val="24"/>
          <w:lang w:eastAsia="pl-PL"/>
        </w:rPr>
        <w:t>art. 3 ust. 1 pkt 8</w:t>
      </w:r>
      <w:r w:rsidR="001C2951" w:rsidRPr="00F749A5">
        <w:rPr>
          <w:rFonts w:ascii="Times New Roman" w:eastAsia="Times New Roman" w:hAnsi="Times New Roman" w:cs="Times New Roman"/>
          <w:spacing w:val="4"/>
          <w:sz w:val="24"/>
          <w:szCs w:val="24"/>
          <w:lang w:eastAsia="pl-PL"/>
        </w:rPr>
        <w:t xml:space="preserve"> ustawy o pomocy państwa w spłacie niektórych kredytów mieszkaniowych, udzielaniu premii gwarancyjnych oraz refundacji bankom wypłacanych premii gwarancyjnych, który pozwala właścicielowi książeczki mieszkaniowej ubiegać się o premi</w:t>
      </w:r>
      <w:r w:rsidR="000B0E55" w:rsidRPr="00F749A5">
        <w:rPr>
          <w:rFonts w:ascii="Times New Roman" w:eastAsia="Times New Roman" w:hAnsi="Times New Roman" w:cs="Times New Roman"/>
          <w:spacing w:val="4"/>
          <w:sz w:val="24"/>
          <w:szCs w:val="24"/>
          <w:lang w:eastAsia="pl-PL"/>
        </w:rPr>
        <w:t>ę</w:t>
      </w:r>
      <w:r w:rsidR="001C2951" w:rsidRPr="00F749A5">
        <w:rPr>
          <w:rFonts w:ascii="Times New Roman" w:eastAsia="Times New Roman" w:hAnsi="Times New Roman" w:cs="Times New Roman"/>
          <w:spacing w:val="4"/>
          <w:sz w:val="24"/>
          <w:szCs w:val="24"/>
          <w:lang w:eastAsia="pl-PL"/>
        </w:rPr>
        <w:t xml:space="preserve"> gwarancyjną również w przypadku wpłaceni</w:t>
      </w:r>
      <w:r w:rsidR="000B0E55" w:rsidRPr="00F749A5">
        <w:rPr>
          <w:rFonts w:ascii="Times New Roman" w:eastAsia="Times New Roman" w:hAnsi="Times New Roman" w:cs="Times New Roman"/>
          <w:spacing w:val="4"/>
          <w:sz w:val="24"/>
          <w:szCs w:val="24"/>
          <w:lang w:eastAsia="pl-PL"/>
        </w:rPr>
        <w:t>a</w:t>
      </w:r>
      <w:r w:rsidR="001C2951" w:rsidRPr="00F749A5">
        <w:rPr>
          <w:rFonts w:ascii="Times New Roman" w:eastAsia="Times New Roman" w:hAnsi="Times New Roman" w:cs="Times New Roman"/>
          <w:spacing w:val="4"/>
          <w:sz w:val="24"/>
          <w:szCs w:val="24"/>
          <w:lang w:eastAsia="pl-PL"/>
        </w:rPr>
        <w:t xml:space="preserve"> kaucji zabezpieczającej pokrycie należności z tytułu najmu lokalu mieszkalnego w budynku wielorodzinnym</w:t>
      </w:r>
      <w:r w:rsidR="000B0E55" w:rsidRPr="00F749A5">
        <w:rPr>
          <w:rFonts w:ascii="Times New Roman" w:eastAsia="Times New Roman" w:hAnsi="Times New Roman" w:cs="Times New Roman"/>
          <w:spacing w:val="4"/>
          <w:sz w:val="24"/>
          <w:szCs w:val="24"/>
          <w:lang w:eastAsia="pl-PL"/>
        </w:rPr>
        <w:t xml:space="preserve"> wybudowanym w ramach dotychczas funkcjonującego preferencyjnego finansowania realizowanego przez BGK, w tym KFM</w:t>
      </w:r>
      <w:r w:rsidR="001C2951" w:rsidRPr="00F749A5">
        <w:rPr>
          <w:rFonts w:ascii="Times New Roman" w:eastAsia="Times New Roman" w:hAnsi="Times New Roman" w:cs="Times New Roman"/>
          <w:spacing w:val="4"/>
          <w:sz w:val="24"/>
          <w:szCs w:val="24"/>
          <w:lang w:eastAsia="pl-PL"/>
        </w:rPr>
        <w:t>, w wysokości przekraczającej 3% wartości odtworzeniowej lokalu.</w:t>
      </w:r>
    </w:p>
    <w:p w:rsidR="00D66002" w:rsidRPr="00F749A5" w:rsidRDefault="00197556" w:rsidP="00F749A5">
      <w:pPr>
        <w:spacing w:before="120" w:after="0" w:line="360" w:lineRule="auto"/>
        <w:jc w:val="both"/>
        <w:rPr>
          <w:rFonts w:ascii="Times New Roman" w:eastAsia="Times New Roman" w:hAnsi="Times New Roman" w:cs="Times New Roman"/>
          <w:sz w:val="24"/>
          <w:szCs w:val="24"/>
          <w:lang w:eastAsia="pl-PL"/>
        </w:rPr>
      </w:pPr>
      <w:r w:rsidRPr="00F749A5">
        <w:rPr>
          <w:rFonts w:ascii="Times New Roman" w:eastAsia="Times New Roman" w:hAnsi="Times New Roman" w:cs="Times New Roman"/>
          <w:spacing w:val="4"/>
          <w:sz w:val="24"/>
          <w:szCs w:val="24"/>
          <w:lang w:eastAsia="pl-PL"/>
        </w:rPr>
        <w:lastRenderedPageBreak/>
        <w:t xml:space="preserve">Z uwagi na przewidzianą w ustawie zmianę </w:t>
      </w:r>
      <w:r w:rsidR="00561802" w:rsidRPr="00F749A5">
        <w:rPr>
          <w:rFonts w:ascii="Times New Roman" w:eastAsia="Times New Roman" w:hAnsi="Times New Roman" w:cs="Times New Roman"/>
          <w:spacing w:val="4"/>
          <w:sz w:val="24"/>
          <w:szCs w:val="24"/>
          <w:lang w:eastAsia="pl-PL"/>
        </w:rPr>
        <w:t xml:space="preserve">zasad i warunków najmu przez podmioty korzystające z preferencyjnego finansowania w ramach rządowego programu </w:t>
      </w:r>
      <w:r w:rsidR="00B438D9" w:rsidRPr="00F749A5">
        <w:rPr>
          <w:rFonts w:ascii="Times New Roman" w:eastAsia="Times New Roman" w:hAnsi="Times New Roman" w:cs="Times New Roman"/>
          <w:spacing w:val="4"/>
          <w:sz w:val="24"/>
          <w:szCs w:val="24"/>
          <w:lang w:eastAsia="pl-PL"/>
        </w:rPr>
        <w:t xml:space="preserve">popierania </w:t>
      </w:r>
      <w:r w:rsidR="00561802" w:rsidRPr="00F749A5">
        <w:rPr>
          <w:rFonts w:ascii="Times New Roman" w:eastAsia="Times New Roman" w:hAnsi="Times New Roman" w:cs="Times New Roman"/>
          <w:spacing w:val="4"/>
          <w:sz w:val="24"/>
          <w:szCs w:val="24"/>
          <w:lang w:eastAsia="pl-PL"/>
        </w:rPr>
        <w:t>budownictwa mieszkaniowego</w:t>
      </w:r>
      <w:r w:rsidRPr="00F749A5">
        <w:rPr>
          <w:rFonts w:ascii="Times New Roman" w:eastAsia="Times New Roman" w:hAnsi="Times New Roman" w:cs="Times New Roman"/>
          <w:spacing w:val="4"/>
          <w:sz w:val="24"/>
          <w:szCs w:val="24"/>
          <w:lang w:eastAsia="pl-PL"/>
        </w:rPr>
        <w:t>, konieczn</w:t>
      </w:r>
      <w:r w:rsidR="00AD297B">
        <w:rPr>
          <w:rFonts w:ascii="Times New Roman" w:eastAsia="Times New Roman" w:hAnsi="Times New Roman" w:cs="Times New Roman"/>
          <w:spacing w:val="4"/>
          <w:sz w:val="24"/>
          <w:szCs w:val="24"/>
          <w:lang w:eastAsia="pl-PL"/>
        </w:rPr>
        <w:t>e</w:t>
      </w:r>
      <w:r w:rsidRPr="00F749A5">
        <w:rPr>
          <w:rFonts w:ascii="Times New Roman" w:eastAsia="Times New Roman" w:hAnsi="Times New Roman" w:cs="Times New Roman"/>
          <w:spacing w:val="4"/>
          <w:sz w:val="24"/>
          <w:szCs w:val="24"/>
          <w:lang w:eastAsia="pl-PL"/>
        </w:rPr>
        <w:t xml:space="preserve"> jest wprowadzenie </w:t>
      </w:r>
      <w:r w:rsidR="00561802" w:rsidRPr="00F749A5">
        <w:rPr>
          <w:rFonts w:ascii="Times New Roman" w:eastAsia="Times New Roman" w:hAnsi="Times New Roman" w:cs="Times New Roman"/>
          <w:b/>
          <w:spacing w:val="4"/>
          <w:sz w:val="24"/>
          <w:szCs w:val="24"/>
          <w:lang w:eastAsia="pl-PL"/>
        </w:rPr>
        <w:t>przepisu przejściowego (art.</w:t>
      </w:r>
      <w:r w:rsidR="005A2F31" w:rsidRPr="00F749A5">
        <w:rPr>
          <w:rFonts w:ascii="Times New Roman" w:eastAsia="Times New Roman" w:hAnsi="Times New Roman" w:cs="Times New Roman"/>
          <w:b/>
          <w:spacing w:val="4"/>
          <w:sz w:val="24"/>
          <w:szCs w:val="24"/>
          <w:lang w:eastAsia="pl-PL"/>
        </w:rPr>
        <w:t xml:space="preserve"> </w:t>
      </w:r>
      <w:r w:rsidR="00DA532D" w:rsidRPr="00F749A5">
        <w:rPr>
          <w:rFonts w:ascii="Times New Roman" w:eastAsia="Times New Roman" w:hAnsi="Times New Roman" w:cs="Times New Roman"/>
          <w:b/>
          <w:spacing w:val="4"/>
          <w:sz w:val="24"/>
          <w:szCs w:val="24"/>
          <w:lang w:eastAsia="pl-PL"/>
        </w:rPr>
        <w:t>6</w:t>
      </w:r>
      <w:r w:rsidR="00D66002" w:rsidRPr="00F749A5">
        <w:rPr>
          <w:rFonts w:ascii="Times New Roman" w:eastAsia="Times New Roman" w:hAnsi="Times New Roman" w:cs="Times New Roman"/>
          <w:b/>
          <w:spacing w:val="4"/>
          <w:sz w:val="24"/>
          <w:szCs w:val="24"/>
          <w:lang w:eastAsia="pl-PL"/>
        </w:rPr>
        <w:t xml:space="preserve"> ust. 1</w:t>
      </w:r>
      <w:r w:rsidR="00561802" w:rsidRPr="00F749A5">
        <w:rPr>
          <w:rFonts w:ascii="Times New Roman" w:eastAsia="Times New Roman" w:hAnsi="Times New Roman" w:cs="Times New Roman"/>
          <w:b/>
          <w:spacing w:val="4"/>
          <w:sz w:val="24"/>
          <w:szCs w:val="24"/>
          <w:lang w:eastAsia="pl-PL"/>
        </w:rPr>
        <w:t>)</w:t>
      </w:r>
      <w:r w:rsidR="00561802" w:rsidRP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określającego status prawny tych umów najmu, które został</w:t>
      </w:r>
      <w:r w:rsidR="00094F15" w:rsidRPr="00F749A5">
        <w:rPr>
          <w:rFonts w:ascii="Times New Roman" w:eastAsia="Times New Roman" w:hAnsi="Times New Roman" w:cs="Times New Roman"/>
          <w:spacing w:val="4"/>
          <w:sz w:val="24"/>
          <w:szCs w:val="24"/>
          <w:lang w:eastAsia="pl-PL"/>
        </w:rPr>
        <w:t>y zawarte przed dniem wejścia w</w:t>
      </w:r>
      <w:r w:rsid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 xml:space="preserve">życie ustawy nowelizującej. Należy </w:t>
      </w:r>
      <w:r w:rsidR="00FF26DF" w:rsidRPr="00F749A5">
        <w:rPr>
          <w:rFonts w:ascii="Times New Roman" w:eastAsia="Times New Roman" w:hAnsi="Times New Roman" w:cs="Times New Roman"/>
          <w:spacing w:val="4"/>
          <w:sz w:val="24"/>
          <w:szCs w:val="24"/>
          <w:lang w:eastAsia="pl-PL"/>
        </w:rPr>
        <w:t>mieć na uwadze</w:t>
      </w:r>
      <w:r w:rsidRPr="00F749A5">
        <w:rPr>
          <w:rFonts w:ascii="Times New Roman" w:eastAsia="Times New Roman" w:hAnsi="Times New Roman" w:cs="Times New Roman"/>
          <w:spacing w:val="4"/>
          <w:sz w:val="24"/>
          <w:szCs w:val="24"/>
          <w:lang w:eastAsia="pl-PL"/>
        </w:rPr>
        <w:t>, że umowy najmu zawarte przed wejściem w życie ustawy nowelizującej zawierane były na gruncie innego stanu prawnego, w szczególności odnoszącego się do maksymalnej</w:t>
      </w:r>
      <w:r w:rsidR="00FF26DF" w:rsidRPr="00F749A5">
        <w:rPr>
          <w:rFonts w:ascii="Times New Roman" w:eastAsia="Times New Roman" w:hAnsi="Times New Roman" w:cs="Times New Roman"/>
          <w:spacing w:val="4"/>
          <w:sz w:val="24"/>
          <w:szCs w:val="24"/>
          <w:lang w:eastAsia="pl-PL"/>
        </w:rPr>
        <w:t xml:space="preserve"> wysokości stawki czynszu najmu, </w:t>
      </w:r>
      <w:r w:rsidRPr="00F749A5">
        <w:rPr>
          <w:rFonts w:ascii="Times New Roman" w:eastAsia="Times New Roman" w:hAnsi="Times New Roman" w:cs="Times New Roman"/>
          <w:spacing w:val="4"/>
          <w:sz w:val="24"/>
          <w:szCs w:val="24"/>
          <w:lang w:eastAsia="pl-PL"/>
        </w:rPr>
        <w:t>progów dochodowych</w:t>
      </w:r>
      <w:r w:rsidR="00FF26DF" w:rsidRPr="00F749A5">
        <w:rPr>
          <w:rFonts w:ascii="Times New Roman" w:eastAsia="Times New Roman" w:hAnsi="Times New Roman" w:cs="Times New Roman"/>
          <w:spacing w:val="4"/>
          <w:sz w:val="24"/>
          <w:szCs w:val="24"/>
          <w:lang w:eastAsia="pl-PL"/>
        </w:rPr>
        <w:t xml:space="preserve"> oraz wysokości partycypacji</w:t>
      </w:r>
      <w:r w:rsidRPr="00F749A5">
        <w:rPr>
          <w:rFonts w:ascii="Times New Roman" w:eastAsia="Times New Roman" w:hAnsi="Times New Roman" w:cs="Times New Roman"/>
          <w:spacing w:val="4"/>
          <w:sz w:val="24"/>
          <w:szCs w:val="24"/>
          <w:lang w:eastAsia="pl-PL"/>
        </w:rPr>
        <w:t>. Uzasadnion</w:t>
      </w:r>
      <w:r w:rsidR="00AD297B">
        <w:rPr>
          <w:rFonts w:ascii="Times New Roman" w:eastAsia="Times New Roman" w:hAnsi="Times New Roman" w:cs="Times New Roman"/>
          <w:spacing w:val="4"/>
          <w:sz w:val="24"/>
          <w:szCs w:val="24"/>
          <w:lang w:eastAsia="pl-PL"/>
        </w:rPr>
        <w:t>e</w:t>
      </w:r>
      <w:r w:rsidRPr="00F749A5">
        <w:rPr>
          <w:rFonts w:ascii="Times New Roman" w:eastAsia="Times New Roman" w:hAnsi="Times New Roman" w:cs="Times New Roman"/>
          <w:spacing w:val="4"/>
          <w:sz w:val="24"/>
          <w:szCs w:val="24"/>
          <w:lang w:eastAsia="pl-PL"/>
        </w:rPr>
        <w:t xml:space="preserve"> jest, w celu ochrony praw nabytych, poddanie tych umów dotychczasowym przepisom. Strony umowy najmu, w szczególności najemcy, decydowali się wejść</w:t>
      </w:r>
      <w:r w:rsidR="00C16CA9" w:rsidRPr="00F749A5">
        <w:rPr>
          <w:rFonts w:ascii="Times New Roman" w:eastAsia="Times New Roman" w:hAnsi="Times New Roman" w:cs="Times New Roman"/>
          <w:spacing w:val="4"/>
          <w:sz w:val="24"/>
          <w:szCs w:val="24"/>
          <w:lang w:eastAsia="pl-PL"/>
        </w:rPr>
        <w:t xml:space="preserve"> w określony stosunek prawny na</w:t>
      </w:r>
      <w:r w:rsid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zasadach wynikających z ówcześnie obowiązujących przepisów prawa w tym względzie. Zmiana w tym zakresie spowodować może – niezależną od stro</w:t>
      </w:r>
      <w:r w:rsidR="001F76F8" w:rsidRPr="00F749A5">
        <w:rPr>
          <w:rFonts w:ascii="Times New Roman" w:eastAsia="Times New Roman" w:hAnsi="Times New Roman" w:cs="Times New Roman"/>
          <w:spacing w:val="4"/>
          <w:sz w:val="24"/>
          <w:szCs w:val="24"/>
          <w:lang w:eastAsia="pl-PL"/>
        </w:rPr>
        <w:t>n umowy – niemożliwość pozostaw</w:t>
      </w:r>
      <w:r w:rsidRPr="00F749A5">
        <w:rPr>
          <w:rFonts w:ascii="Times New Roman" w:eastAsia="Times New Roman" w:hAnsi="Times New Roman" w:cs="Times New Roman"/>
          <w:spacing w:val="4"/>
          <w:sz w:val="24"/>
          <w:szCs w:val="24"/>
          <w:lang w:eastAsia="pl-PL"/>
        </w:rPr>
        <w:t>ania w danym stosunku prawnym.</w:t>
      </w:r>
      <w:r w:rsidR="00521E94" w:rsidRPr="00F749A5">
        <w:rPr>
          <w:rFonts w:ascii="Times New Roman" w:eastAsia="Times New Roman" w:hAnsi="Times New Roman" w:cs="Times New Roman"/>
          <w:spacing w:val="4"/>
          <w:sz w:val="24"/>
          <w:szCs w:val="24"/>
          <w:lang w:eastAsia="pl-PL"/>
        </w:rPr>
        <w:t xml:space="preserve"> </w:t>
      </w:r>
      <w:r w:rsidR="00543ED1" w:rsidRPr="00F749A5">
        <w:rPr>
          <w:rFonts w:ascii="Times New Roman" w:eastAsia="Times New Roman" w:hAnsi="Times New Roman" w:cs="Times New Roman"/>
          <w:spacing w:val="4"/>
          <w:sz w:val="24"/>
          <w:szCs w:val="24"/>
          <w:lang w:eastAsia="pl-PL"/>
        </w:rPr>
        <w:t xml:space="preserve">Analogicznie </w:t>
      </w:r>
      <w:r w:rsidR="00543ED1" w:rsidRPr="00F749A5">
        <w:rPr>
          <w:rFonts w:ascii="Times New Roman" w:eastAsia="Times New Roman" w:hAnsi="Times New Roman" w:cs="Times New Roman"/>
          <w:sz w:val="24"/>
          <w:szCs w:val="24"/>
          <w:lang w:eastAsia="pl-PL"/>
        </w:rPr>
        <w:t>w stosunku do umów określających wysokość i zasady wnoszenia kwoty partycypacji</w:t>
      </w:r>
      <w:r w:rsidR="000575E1" w:rsidRPr="00F749A5">
        <w:rPr>
          <w:rFonts w:ascii="Times New Roman" w:eastAsia="Times New Roman" w:hAnsi="Times New Roman" w:cs="Times New Roman"/>
          <w:sz w:val="24"/>
          <w:szCs w:val="24"/>
          <w:lang w:eastAsia="pl-PL"/>
        </w:rPr>
        <w:t>,</w:t>
      </w:r>
      <w:r w:rsidR="00543ED1" w:rsidRPr="00F749A5">
        <w:rPr>
          <w:rFonts w:ascii="Times New Roman" w:eastAsia="Times New Roman" w:hAnsi="Times New Roman" w:cs="Times New Roman"/>
          <w:sz w:val="24"/>
          <w:szCs w:val="24"/>
          <w:lang w:eastAsia="pl-PL"/>
        </w:rPr>
        <w:t xml:space="preserve"> uzasadnione jest utrzymanie stosowania do tych stosunków prawnych dotychczasowej regulacji</w:t>
      </w:r>
      <w:r w:rsidR="00D66002" w:rsidRPr="00F749A5">
        <w:rPr>
          <w:rFonts w:ascii="Times New Roman" w:eastAsia="Times New Roman" w:hAnsi="Times New Roman" w:cs="Times New Roman"/>
          <w:sz w:val="24"/>
          <w:szCs w:val="24"/>
          <w:lang w:eastAsia="pl-PL"/>
        </w:rPr>
        <w:t xml:space="preserve"> </w:t>
      </w:r>
      <w:r w:rsidR="001C2951" w:rsidRPr="00F749A5">
        <w:rPr>
          <w:rFonts w:ascii="Times New Roman" w:eastAsia="Times New Roman" w:hAnsi="Times New Roman" w:cs="Times New Roman"/>
          <w:b/>
          <w:sz w:val="24"/>
          <w:szCs w:val="24"/>
          <w:lang w:eastAsia="pl-PL"/>
        </w:rPr>
        <w:t>(art.</w:t>
      </w:r>
      <w:r w:rsidR="00DA532D" w:rsidRPr="00F749A5">
        <w:rPr>
          <w:rFonts w:ascii="Times New Roman" w:eastAsia="Times New Roman" w:hAnsi="Times New Roman" w:cs="Times New Roman"/>
          <w:b/>
          <w:sz w:val="24"/>
          <w:szCs w:val="24"/>
          <w:lang w:eastAsia="pl-PL"/>
        </w:rPr>
        <w:t xml:space="preserve"> 7</w:t>
      </w:r>
      <w:r w:rsidR="001C2951" w:rsidRPr="00F749A5">
        <w:rPr>
          <w:rFonts w:ascii="Times New Roman" w:eastAsia="Times New Roman" w:hAnsi="Times New Roman" w:cs="Times New Roman"/>
          <w:b/>
          <w:sz w:val="24"/>
          <w:szCs w:val="24"/>
          <w:lang w:eastAsia="pl-PL"/>
        </w:rPr>
        <w:t>)</w:t>
      </w:r>
      <w:r w:rsidR="00543ED1" w:rsidRPr="00F749A5">
        <w:rPr>
          <w:rFonts w:ascii="Times New Roman" w:eastAsia="Times New Roman" w:hAnsi="Times New Roman" w:cs="Times New Roman"/>
          <w:sz w:val="24"/>
          <w:szCs w:val="24"/>
          <w:lang w:eastAsia="pl-PL"/>
        </w:rPr>
        <w:t xml:space="preserve">. </w:t>
      </w:r>
    </w:p>
    <w:p w:rsidR="004415E8" w:rsidRPr="00F749A5" w:rsidRDefault="001B11DE" w:rsidP="00F749A5">
      <w:pPr>
        <w:spacing w:before="120" w:after="0" w:line="360" w:lineRule="auto"/>
        <w:jc w:val="both"/>
        <w:rPr>
          <w:rFonts w:ascii="Times New Roman" w:hAnsi="Times New Roman" w:cs="Times New Roman"/>
          <w:sz w:val="24"/>
          <w:szCs w:val="24"/>
        </w:rPr>
      </w:pPr>
      <w:r w:rsidRPr="00F749A5">
        <w:rPr>
          <w:rFonts w:ascii="Times New Roman" w:eastAsia="Times New Roman" w:hAnsi="Times New Roman" w:cs="Times New Roman"/>
          <w:spacing w:val="4"/>
          <w:sz w:val="24"/>
          <w:szCs w:val="24"/>
          <w:lang w:eastAsia="pl-PL"/>
        </w:rPr>
        <w:t xml:space="preserve">Przepis </w:t>
      </w:r>
      <w:r w:rsidRPr="00F749A5">
        <w:rPr>
          <w:rFonts w:ascii="Times New Roman" w:eastAsia="Times New Roman" w:hAnsi="Times New Roman" w:cs="Times New Roman"/>
          <w:b/>
          <w:spacing w:val="4"/>
          <w:sz w:val="24"/>
          <w:szCs w:val="24"/>
          <w:lang w:eastAsia="pl-PL"/>
        </w:rPr>
        <w:t>art.</w:t>
      </w:r>
      <w:r w:rsidR="000D371F" w:rsidRPr="00F749A5">
        <w:rPr>
          <w:rFonts w:ascii="Times New Roman" w:eastAsia="Times New Roman" w:hAnsi="Times New Roman" w:cs="Times New Roman"/>
          <w:b/>
          <w:spacing w:val="4"/>
          <w:sz w:val="24"/>
          <w:szCs w:val="24"/>
          <w:lang w:eastAsia="pl-PL"/>
        </w:rPr>
        <w:t xml:space="preserve"> </w:t>
      </w:r>
      <w:r w:rsidR="00DA532D" w:rsidRPr="00F749A5">
        <w:rPr>
          <w:rFonts w:ascii="Times New Roman" w:eastAsia="Times New Roman" w:hAnsi="Times New Roman" w:cs="Times New Roman"/>
          <w:b/>
          <w:spacing w:val="4"/>
          <w:sz w:val="24"/>
          <w:szCs w:val="24"/>
          <w:lang w:eastAsia="pl-PL"/>
        </w:rPr>
        <w:t>6</w:t>
      </w:r>
      <w:r w:rsidRPr="00F749A5">
        <w:rPr>
          <w:rFonts w:ascii="Times New Roman" w:eastAsia="Times New Roman" w:hAnsi="Times New Roman" w:cs="Times New Roman"/>
          <w:b/>
          <w:spacing w:val="4"/>
          <w:sz w:val="24"/>
          <w:szCs w:val="24"/>
          <w:lang w:eastAsia="pl-PL"/>
        </w:rPr>
        <w:t xml:space="preserve"> ust. 2</w:t>
      </w:r>
      <w:r w:rsidRPr="00F749A5">
        <w:rPr>
          <w:rFonts w:ascii="Times New Roman" w:eastAsia="Times New Roman" w:hAnsi="Times New Roman" w:cs="Times New Roman"/>
          <w:spacing w:val="4"/>
          <w:sz w:val="24"/>
          <w:szCs w:val="24"/>
          <w:lang w:eastAsia="pl-PL"/>
        </w:rPr>
        <w:t xml:space="preserve"> projektu jest związany z</w:t>
      </w:r>
      <w:r w:rsid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 xml:space="preserve">zakładaną zmianą trybu i formy ogłaszania przez Prezesa GUS okresowej informacji o poziomie przeciętnych wynagrodzeń w województwach, będących podstawą weryfikacji uprawnień dochodowych najemców (propozycja zmiany art. 30 ust. 2 ustawy została omówiona w innej części uzasadnienia projektu). Ma on charakter doprecyzowujący sytuację okresowej weryfikacji dochodów najemców, których umowy zostały zawarte przed dniem wejścia w życie projektowanych zmian, a która nadal będzie dokonywana na podstawie dotychczas obowiązujących przepisów </w:t>
      </w:r>
      <w:r w:rsidRPr="00F749A5">
        <w:rPr>
          <w:rFonts w:ascii="Times New Roman" w:hAnsi="Times New Roman" w:cs="Times New Roman"/>
          <w:sz w:val="24"/>
          <w:szCs w:val="24"/>
        </w:rPr>
        <w:t xml:space="preserve">art. 30 ustawy. Zgodnie z projektem, po wejściu w życie przepisów korygujących ogłaszaną obecnie informację GUS (wraz z uproszczeniem trybu, tj. wprowadzeniem jednego ogłoszenia w roku), nowa informacja Prezesa GUS </w:t>
      </w:r>
      <w:r w:rsidR="000D371F" w:rsidRPr="00F749A5">
        <w:rPr>
          <w:rFonts w:ascii="Times New Roman" w:hAnsi="Times New Roman" w:cs="Times New Roman"/>
          <w:sz w:val="24"/>
          <w:szCs w:val="24"/>
        </w:rPr>
        <w:t>będzie</w:t>
      </w:r>
      <w:r w:rsidRPr="00F749A5">
        <w:rPr>
          <w:rFonts w:ascii="Times New Roman" w:hAnsi="Times New Roman" w:cs="Times New Roman"/>
          <w:sz w:val="24"/>
          <w:szCs w:val="24"/>
        </w:rPr>
        <w:t xml:space="preserve"> również</w:t>
      </w:r>
      <w:r w:rsidR="000D371F" w:rsidRPr="00F749A5">
        <w:rPr>
          <w:rFonts w:ascii="Times New Roman" w:hAnsi="Times New Roman" w:cs="Times New Roman"/>
          <w:sz w:val="24"/>
          <w:szCs w:val="24"/>
        </w:rPr>
        <w:t xml:space="preserve"> stanowiła</w:t>
      </w:r>
      <w:r w:rsidRPr="00F749A5">
        <w:rPr>
          <w:rFonts w:ascii="Times New Roman" w:hAnsi="Times New Roman" w:cs="Times New Roman"/>
          <w:sz w:val="24"/>
          <w:szCs w:val="24"/>
        </w:rPr>
        <w:t xml:space="preserve"> podstawę </w:t>
      </w:r>
      <w:r w:rsidR="000D371F" w:rsidRPr="00F749A5">
        <w:rPr>
          <w:rFonts w:ascii="Times New Roman" w:hAnsi="Times New Roman" w:cs="Times New Roman"/>
          <w:sz w:val="24"/>
          <w:szCs w:val="24"/>
        </w:rPr>
        <w:t>d</w:t>
      </w:r>
      <w:r w:rsidR="00AD297B">
        <w:rPr>
          <w:rFonts w:ascii="Times New Roman" w:hAnsi="Times New Roman" w:cs="Times New Roman"/>
          <w:sz w:val="24"/>
          <w:szCs w:val="24"/>
        </w:rPr>
        <w:t>o</w:t>
      </w:r>
      <w:r w:rsidR="000D371F" w:rsidRPr="00F749A5">
        <w:rPr>
          <w:rFonts w:ascii="Times New Roman" w:hAnsi="Times New Roman" w:cs="Times New Roman"/>
          <w:sz w:val="24"/>
          <w:szCs w:val="24"/>
        </w:rPr>
        <w:t xml:space="preserve"> </w:t>
      </w:r>
      <w:r w:rsidRPr="00F749A5">
        <w:rPr>
          <w:rFonts w:ascii="Times New Roman" w:hAnsi="Times New Roman" w:cs="Times New Roman"/>
          <w:sz w:val="24"/>
          <w:szCs w:val="24"/>
        </w:rPr>
        <w:t xml:space="preserve">ustalania limitów dochodowych na zasadach </w:t>
      </w:r>
      <w:r w:rsidR="000D371F" w:rsidRPr="00F749A5">
        <w:rPr>
          <w:rFonts w:ascii="Times New Roman" w:hAnsi="Times New Roman" w:cs="Times New Roman"/>
          <w:sz w:val="24"/>
          <w:szCs w:val="24"/>
        </w:rPr>
        <w:t>dotychczasowego</w:t>
      </w:r>
      <w:r w:rsidRPr="00F749A5">
        <w:rPr>
          <w:rFonts w:ascii="Times New Roman" w:hAnsi="Times New Roman" w:cs="Times New Roman"/>
          <w:sz w:val="24"/>
          <w:szCs w:val="24"/>
        </w:rPr>
        <w:t xml:space="preserve"> art. 30 ust. 1 pkt 2 ustawy.</w:t>
      </w:r>
      <w:r w:rsidR="00AD297B">
        <w:rPr>
          <w:rFonts w:ascii="Times New Roman" w:hAnsi="Times New Roman" w:cs="Times New Roman"/>
          <w:sz w:val="24"/>
          <w:szCs w:val="24"/>
        </w:rPr>
        <w:t xml:space="preserve"> </w:t>
      </w:r>
      <w:r w:rsidR="00461DFE" w:rsidRPr="00F749A5">
        <w:rPr>
          <w:rFonts w:ascii="Times New Roman" w:eastAsia="Times New Roman" w:hAnsi="Times New Roman" w:cs="Times New Roman"/>
          <w:spacing w:val="4"/>
          <w:sz w:val="24"/>
          <w:szCs w:val="24"/>
          <w:lang w:eastAsia="pl-PL"/>
        </w:rPr>
        <w:t>Biorąc pod uwagę</w:t>
      </w:r>
      <w:r w:rsidR="00526256" w:rsidRPr="00F749A5">
        <w:rPr>
          <w:rFonts w:ascii="Times New Roman" w:eastAsia="Times New Roman" w:hAnsi="Times New Roman" w:cs="Times New Roman"/>
          <w:spacing w:val="4"/>
          <w:sz w:val="24"/>
          <w:szCs w:val="24"/>
          <w:lang w:eastAsia="pl-PL"/>
        </w:rPr>
        <w:t xml:space="preserve"> przewidywane ograniczenie</w:t>
      </w:r>
      <w:r w:rsidR="00526256" w:rsidRPr="00F749A5">
        <w:rPr>
          <w:rFonts w:ascii="Times New Roman" w:eastAsia="Times New Roman" w:hAnsi="Times New Roman" w:cs="Times New Roman"/>
          <w:sz w:val="24"/>
          <w:szCs w:val="24"/>
          <w:lang w:eastAsia="pl-PL"/>
        </w:rPr>
        <w:t xml:space="preserve"> częstotliwości obowiązków publikacyjnych GUS, związanych z obwieszczeniem wydawanym na podstawie art. 30 ust. 2 ustawy, </w:t>
      </w:r>
      <w:r w:rsidR="00526256" w:rsidRPr="00F749A5">
        <w:rPr>
          <w:rFonts w:ascii="Times New Roman" w:eastAsia="Times New Roman" w:hAnsi="Times New Roman" w:cs="Times New Roman"/>
          <w:spacing w:val="4"/>
          <w:sz w:val="24"/>
          <w:szCs w:val="24"/>
          <w:lang w:eastAsia="pl-PL"/>
        </w:rPr>
        <w:t xml:space="preserve">w </w:t>
      </w:r>
      <w:r w:rsidR="00526256" w:rsidRPr="00F749A5">
        <w:rPr>
          <w:rFonts w:ascii="Times New Roman" w:eastAsia="Times New Roman" w:hAnsi="Times New Roman" w:cs="Times New Roman"/>
          <w:b/>
          <w:spacing w:val="4"/>
          <w:sz w:val="24"/>
          <w:szCs w:val="24"/>
          <w:lang w:eastAsia="pl-PL"/>
        </w:rPr>
        <w:t>art.</w:t>
      </w:r>
      <w:r w:rsidR="005A2F31" w:rsidRPr="00F749A5">
        <w:rPr>
          <w:rFonts w:ascii="Times New Roman" w:eastAsia="Times New Roman" w:hAnsi="Times New Roman" w:cs="Times New Roman"/>
          <w:b/>
          <w:spacing w:val="4"/>
          <w:sz w:val="24"/>
          <w:szCs w:val="24"/>
          <w:lang w:eastAsia="pl-PL"/>
        </w:rPr>
        <w:t xml:space="preserve"> </w:t>
      </w:r>
      <w:r w:rsidR="00C40645" w:rsidRPr="00F749A5">
        <w:rPr>
          <w:rFonts w:ascii="Times New Roman" w:eastAsia="Times New Roman" w:hAnsi="Times New Roman" w:cs="Times New Roman"/>
          <w:b/>
          <w:spacing w:val="4"/>
          <w:sz w:val="24"/>
          <w:szCs w:val="24"/>
          <w:lang w:eastAsia="pl-PL"/>
        </w:rPr>
        <w:t>8</w:t>
      </w:r>
      <w:r w:rsidR="00526256" w:rsidRPr="00F749A5">
        <w:rPr>
          <w:rFonts w:ascii="Times New Roman" w:eastAsia="Times New Roman" w:hAnsi="Times New Roman" w:cs="Times New Roman"/>
          <w:b/>
          <w:spacing w:val="4"/>
          <w:sz w:val="24"/>
          <w:szCs w:val="24"/>
          <w:lang w:eastAsia="pl-PL"/>
        </w:rPr>
        <w:t xml:space="preserve"> projektu </w:t>
      </w:r>
      <w:r w:rsidR="00526256" w:rsidRPr="00F749A5">
        <w:rPr>
          <w:rFonts w:ascii="Times New Roman" w:eastAsia="Times New Roman" w:hAnsi="Times New Roman" w:cs="Times New Roman"/>
          <w:spacing w:val="4"/>
          <w:sz w:val="24"/>
          <w:szCs w:val="24"/>
          <w:lang w:eastAsia="pl-PL"/>
        </w:rPr>
        <w:t xml:space="preserve">ustawy przewidziano rozwiązanie formułujące zasady przejściowe, w oparciu o które będą ustalane progi dochodowe, wskazane w art. 30 ust. 1 pkt </w:t>
      </w:r>
      <w:r w:rsidR="003E6D84">
        <w:rPr>
          <w:rFonts w:ascii="Times New Roman" w:eastAsia="Times New Roman" w:hAnsi="Times New Roman" w:cs="Times New Roman"/>
          <w:spacing w:val="4"/>
          <w:sz w:val="24"/>
          <w:szCs w:val="24"/>
          <w:lang w:eastAsia="pl-PL"/>
        </w:rPr>
        <w:t xml:space="preserve">2 </w:t>
      </w:r>
      <w:r w:rsidR="00526256" w:rsidRPr="00F749A5">
        <w:rPr>
          <w:rFonts w:ascii="Times New Roman" w:eastAsia="Times New Roman" w:hAnsi="Times New Roman" w:cs="Times New Roman"/>
          <w:spacing w:val="4"/>
          <w:sz w:val="24"/>
          <w:szCs w:val="24"/>
          <w:lang w:eastAsia="pl-PL"/>
        </w:rPr>
        <w:t>ustawy. D</w:t>
      </w:r>
      <w:r w:rsidR="00526256" w:rsidRPr="00F749A5">
        <w:rPr>
          <w:rFonts w:ascii="Times New Roman" w:hAnsi="Times New Roman" w:cs="Times New Roman"/>
          <w:sz w:val="24"/>
          <w:szCs w:val="24"/>
        </w:rPr>
        <w:t>o dnia pierwszego ogłoszenia Prezesa GUS, dokonanego</w:t>
      </w:r>
      <w:r w:rsidR="00F749A5">
        <w:rPr>
          <w:rFonts w:ascii="Times New Roman" w:hAnsi="Times New Roman" w:cs="Times New Roman"/>
          <w:sz w:val="24"/>
          <w:szCs w:val="24"/>
        </w:rPr>
        <w:t xml:space="preserve"> </w:t>
      </w:r>
      <w:r w:rsidR="00526256" w:rsidRPr="00F749A5">
        <w:rPr>
          <w:rFonts w:ascii="Times New Roman" w:hAnsi="Times New Roman" w:cs="Times New Roman"/>
          <w:sz w:val="24"/>
          <w:szCs w:val="24"/>
        </w:rPr>
        <w:t xml:space="preserve">na podstawie zmienionej delegacji w art. 30 ust. 2 ustawy, wysokość ostatnio ogłoszonego przeciętnego wynagrodzenia brutto w gospodarce narodowej w województwie będzie przyjmowana na podstawie ostatniego </w:t>
      </w:r>
      <w:r w:rsidR="00526256" w:rsidRPr="00F749A5">
        <w:rPr>
          <w:rFonts w:ascii="Times New Roman" w:hAnsi="Times New Roman" w:cs="Times New Roman"/>
          <w:sz w:val="24"/>
          <w:szCs w:val="24"/>
        </w:rPr>
        <w:lastRenderedPageBreak/>
        <w:t>ogłoszenia Prezesa GUS</w:t>
      </w:r>
      <w:r w:rsidR="00461DFE" w:rsidRPr="00F749A5">
        <w:rPr>
          <w:rFonts w:ascii="Times New Roman" w:hAnsi="Times New Roman" w:cs="Times New Roman"/>
          <w:sz w:val="24"/>
          <w:szCs w:val="24"/>
        </w:rPr>
        <w:t xml:space="preserve">, które zostało </w:t>
      </w:r>
      <w:r w:rsidR="009B703B" w:rsidRPr="00F749A5">
        <w:rPr>
          <w:rFonts w:ascii="Times New Roman" w:hAnsi="Times New Roman" w:cs="Times New Roman"/>
          <w:sz w:val="24"/>
          <w:szCs w:val="24"/>
        </w:rPr>
        <w:t>wydane</w:t>
      </w:r>
      <w:r w:rsidR="00526256" w:rsidRPr="00F749A5">
        <w:rPr>
          <w:rFonts w:ascii="Times New Roman" w:hAnsi="Times New Roman" w:cs="Times New Roman"/>
          <w:sz w:val="24"/>
          <w:szCs w:val="24"/>
        </w:rPr>
        <w:t xml:space="preserve"> na podstawie art. 30 ust. 2 ustawy</w:t>
      </w:r>
      <w:r w:rsidR="00461DFE" w:rsidRPr="00F749A5">
        <w:rPr>
          <w:rFonts w:ascii="Times New Roman" w:hAnsi="Times New Roman" w:cs="Times New Roman"/>
          <w:sz w:val="24"/>
          <w:szCs w:val="24"/>
        </w:rPr>
        <w:t xml:space="preserve"> przed jej nowelizacją. </w:t>
      </w:r>
    </w:p>
    <w:p w:rsidR="00423BFB" w:rsidRPr="00F749A5" w:rsidRDefault="002D2B08"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W proponowanym art. </w:t>
      </w:r>
      <w:r w:rsidR="00C40645" w:rsidRPr="00F749A5">
        <w:rPr>
          <w:rFonts w:ascii="Times New Roman" w:eastAsia="Times New Roman" w:hAnsi="Times New Roman" w:cs="Times New Roman"/>
          <w:spacing w:val="4"/>
          <w:sz w:val="24"/>
          <w:szCs w:val="24"/>
          <w:lang w:eastAsia="pl-PL"/>
        </w:rPr>
        <w:t>9</w:t>
      </w:r>
      <w:r w:rsidRPr="00F749A5">
        <w:rPr>
          <w:rFonts w:ascii="Times New Roman" w:eastAsia="Times New Roman" w:hAnsi="Times New Roman" w:cs="Times New Roman"/>
          <w:spacing w:val="4"/>
          <w:sz w:val="24"/>
          <w:szCs w:val="24"/>
          <w:lang w:eastAsia="pl-PL"/>
        </w:rPr>
        <w:t xml:space="preserve"> ustawy określone zostały maksymalne kwoty dofinansowania Funduszu Dopłat środkami budżetu państwa w poszczególnych latach realizacji 10 kolejnych edycji programu wsparcia, a także mechanizm korygujący. Wskazane kwoty zostały oszacowane przez BGK na podstawie parametru wysokości dopłat do oprocentowania (zgodnie z projektowanym art. 15c ust. 2 ustawy), uzgodnionym modelem spłaty należnych BGK dopłat do oprocentowania wykorzystującego możliwość jednorazowego rozliczenia „balonowego” (model niepowodujący wieloletnich zobowiązań budżetowych w całym okresie spłaty udzielonego przez BGK finansowania) oraz uzgodnioną ramowo skalą finansowania (efekty rzeczowe). Szczegółowemu omówieniu przyjętych rozwiązań została poświęcona część uzasadnienia projektu ustawy, wskazująca na uwarunkowania finansowe realizacji zakładanego programu wsparcia.</w:t>
      </w:r>
      <w:r w:rsidR="00423BFB" w:rsidRPr="00F749A5">
        <w:rPr>
          <w:rFonts w:ascii="Times New Roman" w:eastAsia="Times New Roman" w:hAnsi="Times New Roman" w:cs="Times New Roman"/>
          <w:spacing w:val="4"/>
          <w:sz w:val="24"/>
          <w:szCs w:val="24"/>
          <w:lang w:eastAsia="pl-PL"/>
        </w:rPr>
        <w:t xml:space="preserve"> </w:t>
      </w:r>
    </w:p>
    <w:p w:rsidR="002D2B08" w:rsidRPr="00F749A5" w:rsidRDefault="00423BFB"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Ust. 2 art. 9 ustawy wskazuje natomiast organ odpowiedzialny za monitorowanie wykorzystania określonego w ust. 1 limitu wydatków </w:t>
      </w:r>
      <w:r w:rsidR="0079322A" w:rsidRPr="00F749A5">
        <w:rPr>
          <w:rFonts w:ascii="Times New Roman" w:eastAsia="Times New Roman" w:hAnsi="Times New Roman" w:cs="Times New Roman"/>
          <w:spacing w:val="4"/>
          <w:sz w:val="24"/>
          <w:szCs w:val="24"/>
          <w:lang w:eastAsia="pl-PL"/>
        </w:rPr>
        <w:t>na dany</w:t>
      </w:r>
      <w:r w:rsidRPr="00F749A5">
        <w:rPr>
          <w:rFonts w:ascii="Times New Roman" w:eastAsia="Times New Roman" w:hAnsi="Times New Roman" w:cs="Times New Roman"/>
          <w:spacing w:val="4"/>
          <w:sz w:val="24"/>
          <w:szCs w:val="24"/>
          <w:lang w:eastAsia="pl-PL"/>
        </w:rPr>
        <w:t xml:space="preserve"> rok, a także za wdrożenie przyjętego w ust. 3 mechanizmu korygującego. Zgodnie z nim Bank Gospodarstwa Krajowego udziela finansowania zwrotnego wyłącznie do wysokości gwarantującej wypłatę dopłat do oprocentowania w kwocie nieprzekraczającej maksymalnego </w:t>
      </w:r>
      <w:r w:rsidR="005523BF" w:rsidRPr="00F749A5">
        <w:rPr>
          <w:rFonts w:ascii="Times New Roman" w:eastAsia="Times New Roman" w:hAnsi="Times New Roman" w:cs="Times New Roman"/>
          <w:spacing w:val="4"/>
          <w:sz w:val="24"/>
          <w:szCs w:val="24"/>
          <w:lang w:eastAsia="pl-PL"/>
        </w:rPr>
        <w:t xml:space="preserve">ustalonego na dany rok </w:t>
      </w:r>
      <w:r w:rsidRPr="00F749A5">
        <w:rPr>
          <w:rFonts w:ascii="Times New Roman" w:eastAsia="Times New Roman" w:hAnsi="Times New Roman" w:cs="Times New Roman"/>
          <w:spacing w:val="4"/>
          <w:sz w:val="24"/>
          <w:szCs w:val="24"/>
          <w:lang w:eastAsia="pl-PL"/>
        </w:rPr>
        <w:t>limitu środków</w:t>
      </w:r>
      <w:r w:rsidR="005523BF" w:rsidRPr="00F749A5">
        <w:rPr>
          <w:rFonts w:ascii="Times New Roman" w:eastAsia="Times New Roman" w:hAnsi="Times New Roman" w:cs="Times New Roman"/>
          <w:spacing w:val="4"/>
          <w:sz w:val="24"/>
          <w:szCs w:val="24"/>
          <w:lang w:eastAsia="pl-PL"/>
        </w:rPr>
        <w:t xml:space="preserve"> budżetu państwa.</w:t>
      </w:r>
      <w:r w:rsidR="0079322A" w:rsidRPr="00F749A5">
        <w:rPr>
          <w:rFonts w:ascii="Times New Roman" w:eastAsia="Times New Roman" w:hAnsi="Times New Roman" w:cs="Times New Roman"/>
          <w:spacing w:val="4"/>
          <w:sz w:val="24"/>
          <w:szCs w:val="24"/>
          <w:lang w:eastAsia="pl-PL"/>
        </w:rPr>
        <w:t xml:space="preserve"> Zastrzeżenie to pozwoli na uniknięcie przekroczenia założonych w ustawie wydatków budżetu państwa.</w:t>
      </w:r>
      <w:r w:rsidRPr="00F749A5">
        <w:rPr>
          <w:rFonts w:ascii="Times New Roman" w:eastAsia="Times New Roman" w:hAnsi="Times New Roman" w:cs="Times New Roman"/>
          <w:spacing w:val="4"/>
          <w:sz w:val="24"/>
          <w:szCs w:val="24"/>
          <w:lang w:eastAsia="pl-PL"/>
        </w:rPr>
        <w:t xml:space="preserve"> </w:t>
      </w:r>
      <w:r w:rsidR="0079322A" w:rsidRPr="00F749A5">
        <w:rPr>
          <w:rFonts w:ascii="Times New Roman" w:eastAsia="Times New Roman" w:hAnsi="Times New Roman" w:cs="Times New Roman"/>
          <w:spacing w:val="4"/>
          <w:sz w:val="24"/>
          <w:szCs w:val="24"/>
          <w:lang w:eastAsia="pl-PL"/>
        </w:rPr>
        <w:t>Ust. 4 uzupełnia przepis ust. 3 o wskazanie, że szczegółowe zasady zapewniające zachowanie przyjętego na dany rok budżetowy maksymalnego limitu określi rozporządzanie, wydane na podstawie art. 15b ust. 5 ustawy.</w:t>
      </w:r>
    </w:p>
    <w:p w:rsidR="00461DFE" w:rsidRPr="00F749A5" w:rsidRDefault="00461DFE"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b/>
          <w:spacing w:val="4"/>
          <w:sz w:val="24"/>
          <w:szCs w:val="24"/>
          <w:lang w:eastAsia="pl-PL"/>
        </w:rPr>
        <w:t xml:space="preserve">Art. </w:t>
      </w:r>
      <w:r w:rsidR="00C40645" w:rsidRPr="00F749A5">
        <w:rPr>
          <w:rFonts w:ascii="Times New Roman" w:eastAsia="Times New Roman" w:hAnsi="Times New Roman" w:cs="Times New Roman"/>
          <w:b/>
          <w:spacing w:val="4"/>
          <w:sz w:val="24"/>
          <w:szCs w:val="24"/>
          <w:lang w:eastAsia="pl-PL"/>
        </w:rPr>
        <w:t>10</w:t>
      </w:r>
      <w:r w:rsidR="005A2F31" w:rsidRPr="00F749A5">
        <w:rPr>
          <w:rFonts w:ascii="Times New Roman" w:eastAsia="Times New Roman" w:hAnsi="Times New Roman" w:cs="Times New Roman"/>
          <w:b/>
          <w:spacing w:val="4"/>
          <w:sz w:val="24"/>
          <w:szCs w:val="24"/>
          <w:lang w:eastAsia="pl-PL"/>
        </w:rPr>
        <w:t xml:space="preserve"> </w:t>
      </w:r>
      <w:r w:rsidRPr="00F749A5">
        <w:rPr>
          <w:rFonts w:ascii="Times New Roman" w:eastAsia="Times New Roman" w:hAnsi="Times New Roman" w:cs="Times New Roman"/>
          <w:b/>
          <w:spacing w:val="4"/>
          <w:sz w:val="24"/>
          <w:szCs w:val="24"/>
          <w:lang w:eastAsia="pl-PL"/>
        </w:rPr>
        <w:t>projektu</w:t>
      </w:r>
      <w:r w:rsidRPr="00F749A5">
        <w:rPr>
          <w:rFonts w:ascii="Times New Roman" w:eastAsia="Times New Roman" w:hAnsi="Times New Roman" w:cs="Times New Roman"/>
          <w:spacing w:val="4"/>
          <w:sz w:val="24"/>
          <w:szCs w:val="24"/>
          <w:lang w:eastAsia="pl-PL"/>
        </w:rPr>
        <w:t xml:space="preserve"> ustawy przewiduje wejście w życie znowelizowanych przepisów z zachowaniem 14 dni </w:t>
      </w:r>
      <w:r w:rsidRPr="001F1AB1">
        <w:rPr>
          <w:rFonts w:ascii="Times New Roman" w:eastAsia="Times New Roman" w:hAnsi="Times New Roman" w:cs="Times New Roman"/>
          <w:i/>
          <w:spacing w:val="4"/>
          <w:sz w:val="24"/>
          <w:szCs w:val="24"/>
          <w:lang w:eastAsia="pl-PL"/>
        </w:rPr>
        <w:t>vacatio legis</w:t>
      </w:r>
      <w:r w:rsidR="00D80AAE" w:rsidRPr="00F749A5">
        <w:rPr>
          <w:rFonts w:ascii="Times New Roman" w:eastAsia="Times New Roman" w:hAnsi="Times New Roman" w:cs="Times New Roman"/>
          <w:spacing w:val="4"/>
          <w:sz w:val="24"/>
          <w:szCs w:val="24"/>
          <w:lang w:eastAsia="pl-PL"/>
        </w:rPr>
        <w:t>.</w:t>
      </w:r>
      <w:r w:rsidR="00445616" w:rsidRPr="00F749A5">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Proponowany termin uwzględnia:</w:t>
      </w:r>
    </w:p>
    <w:p w:rsidR="00461DFE" w:rsidRPr="00F749A5" w:rsidRDefault="00461DFE" w:rsidP="00655511">
      <w:pPr>
        <w:pStyle w:val="Akapitzlist"/>
        <w:numPr>
          <w:ilvl w:val="0"/>
          <w:numId w:val="35"/>
        </w:numPr>
        <w:spacing w:before="120" w:after="0" w:line="360" w:lineRule="auto"/>
        <w:ind w:left="360"/>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brak konieczności podjęcia </w:t>
      </w:r>
      <w:r w:rsidR="00DF26E6" w:rsidRPr="00F749A5">
        <w:rPr>
          <w:rFonts w:ascii="Times New Roman" w:eastAsia="Times New Roman" w:hAnsi="Times New Roman" w:cs="Times New Roman"/>
          <w:spacing w:val="4"/>
          <w:sz w:val="24"/>
          <w:szCs w:val="24"/>
          <w:lang w:eastAsia="pl-PL"/>
        </w:rPr>
        <w:t xml:space="preserve">istotnych </w:t>
      </w:r>
      <w:r w:rsidRPr="00F749A5">
        <w:rPr>
          <w:rFonts w:ascii="Times New Roman" w:eastAsia="Times New Roman" w:hAnsi="Times New Roman" w:cs="Times New Roman"/>
          <w:spacing w:val="4"/>
          <w:sz w:val="24"/>
          <w:szCs w:val="24"/>
          <w:lang w:eastAsia="pl-PL"/>
        </w:rPr>
        <w:t>działań dostosowujących</w:t>
      </w:r>
      <w:r w:rsidR="00DF26E6" w:rsidRPr="00F749A5">
        <w:rPr>
          <w:rFonts w:ascii="Times New Roman" w:eastAsia="Times New Roman" w:hAnsi="Times New Roman" w:cs="Times New Roman"/>
          <w:spacing w:val="4"/>
          <w:sz w:val="24"/>
          <w:szCs w:val="24"/>
          <w:lang w:eastAsia="pl-PL"/>
        </w:rPr>
        <w:t xml:space="preserve">. Potrzeba taka mogłaby wynikać </w:t>
      </w:r>
      <w:r w:rsidRPr="00F749A5">
        <w:rPr>
          <w:rFonts w:ascii="Times New Roman" w:eastAsia="Times New Roman" w:hAnsi="Times New Roman" w:cs="Times New Roman"/>
          <w:spacing w:val="4"/>
          <w:sz w:val="24"/>
          <w:szCs w:val="24"/>
          <w:lang w:eastAsia="pl-PL"/>
        </w:rPr>
        <w:t>ze zmian</w:t>
      </w:r>
      <w:r w:rsidR="00DF26E6" w:rsidRPr="00F749A5">
        <w:rPr>
          <w:rFonts w:ascii="Times New Roman" w:eastAsia="Times New Roman" w:hAnsi="Times New Roman" w:cs="Times New Roman"/>
          <w:spacing w:val="4"/>
          <w:sz w:val="24"/>
          <w:szCs w:val="24"/>
          <w:lang w:eastAsia="pl-PL"/>
        </w:rPr>
        <w:t>y</w:t>
      </w:r>
      <w:r w:rsidRPr="00F749A5">
        <w:rPr>
          <w:rFonts w:ascii="Times New Roman" w:eastAsia="Times New Roman" w:hAnsi="Times New Roman" w:cs="Times New Roman"/>
          <w:spacing w:val="4"/>
          <w:sz w:val="24"/>
          <w:szCs w:val="24"/>
          <w:lang w:eastAsia="pl-PL"/>
        </w:rPr>
        <w:t xml:space="preserve"> zasad gospodarowania istniejącym zasobem mieszkaniowym </w:t>
      </w:r>
      <w:r w:rsidR="00DF26E6" w:rsidRPr="00F749A5">
        <w:rPr>
          <w:rFonts w:ascii="Times New Roman" w:eastAsia="Times New Roman" w:hAnsi="Times New Roman" w:cs="Times New Roman"/>
          <w:spacing w:val="4"/>
          <w:sz w:val="24"/>
          <w:szCs w:val="24"/>
          <w:lang w:eastAsia="pl-PL"/>
        </w:rPr>
        <w:t xml:space="preserve">(projekt przewiduje co do zasady utrzymanie dotychczasowych rozwiązań w przypadku umów najmu zawartych przed zmianą przepisów) lub ze </w:t>
      </w:r>
      <w:r w:rsidRPr="00F749A5">
        <w:rPr>
          <w:rFonts w:ascii="Times New Roman" w:eastAsia="Times New Roman" w:hAnsi="Times New Roman" w:cs="Times New Roman"/>
          <w:spacing w:val="4"/>
          <w:sz w:val="24"/>
          <w:szCs w:val="24"/>
          <w:lang w:eastAsia="pl-PL"/>
        </w:rPr>
        <w:t>zmian</w:t>
      </w:r>
      <w:r w:rsidR="00DF26E6" w:rsidRPr="00F749A5">
        <w:rPr>
          <w:rFonts w:ascii="Times New Roman" w:eastAsia="Times New Roman" w:hAnsi="Times New Roman" w:cs="Times New Roman"/>
          <w:spacing w:val="4"/>
          <w:sz w:val="24"/>
          <w:szCs w:val="24"/>
          <w:lang w:eastAsia="pl-PL"/>
        </w:rPr>
        <w:t>y</w:t>
      </w:r>
      <w:r w:rsidRPr="00F749A5">
        <w:rPr>
          <w:rFonts w:ascii="Times New Roman" w:eastAsia="Times New Roman" w:hAnsi="Times New Roman" w:cs="Times New Roman"/>
          <w:spacing w:val="4"/>
          <w:sz w:val="24"/>
          <w:szCs w:val="24"/>
          <w:lang w:eastAsia="pl-PL"/>
        </w:rPr>
        <w:t xml:space="preserve"> zasad prowadzenia działalności przez TBS-y</w:t>
      </w:r>
      <w:r w:rsidR="00DF26E6" w:rsidRPr="00F749A5">
        <w:rPr>
          <w:rFonts w:ascii="Times New Roman" w:eastAsia="Times New Roman" w:hAnsi="Times New Roman" w:cs="Times New Roman"/>
          <w:spacing w:val="4"/>
          <w:sz w:val="24"/>
          <w:szCs w:val="24"/>
          <w:lang w:eastAsia="pl-PL"/>
        </w:rPr>
        <w:t xml:space="preserve"> (projekt nie przewiduje zmian zawężających przedmiot działania TBS</w:t>
      </w:r>
      <w:r w:rsidR="00480349" w:rsidRPr="00F749A5">
        <w:rPr>
          <w:rFonts w:ascii="Times New Roman" w:eastAsia="Times New Roman" w:hAnsi="Times New Roman" w:cs="Times New Roman"/>
          <w:spacing w:val="4"/>
          <w:sz w:val="24"/>
          <w:szCs w:val="24"/>
          <w:lang w:eastAsia="pl-PL"/>
        </w:rPr>
        <w:t>-ów</w:t>
      </w:r>
      <w:r w:rsidR="00DF26E6" w:rsidRPr="00F749A5">
        <w:rPr>
          <w:rFonts w:ascii="Times New Roman" w:eastAsia="Times New Roman" w:hAnsi="Times New Roman" w:cs="Times New Roman"/>
          <w:spacing w:val="4"/>
          <w:sz w:val="24"/>
          <w:szCs w:val="24"/>
          <w:lang w:eastAsia="pl-PL"/>
        </w:rPr>
        <w:t>, uzasadniających konieczność dostosowań)</w:t>
      </w:r>
      <w:r w:rsidR="003E6D84">
        <w:rPr>
          <w:rFonts w:ascii="Times New Roman" w:eastAsia="Times New Roman" w:hAnsi="Times New Roman" w:cs="Times New Roman"/>
          <w:spacing w:val="4"/>
          <w:sz w:val="24"/>
          <w:szCs w:val="24"/>
          <w:lang w:eastAsia="pl-PL"/>
        </w:rPr>
        <w:t>,</w:t>
      </w:r>
    </w:p>
    <w:p w:rsidR="00DF26E6" w:rsidRPr="00F749A5" w:rsidRDefault="00461DFE" w:rsidP="00655511">
      <w:pPr>
        <w:pStyle w:val="Akapitzlist"/>
        <w:numPr>
          <w:ilvl w:val="0"/>
          <w:numId w:val="35"/>
        </w:numPr>
        <w:spacing w:before="120" w:after="0" w:line="360" w:lineRule="auto"/>
        <w:ind w:left="360"/>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 xml:space="preserve">zapewnienie ciągłości stosowania </w:t>
      </w:r>
      <w:r w:rsidR="00DF26E6" w:rsidRPr="00F749A5">
        <w:rPr>
          <w:rFonts w:ascii="Times New Roman" w:eastAsia="Times New Roman" w:hAnsi="Times New Roman" w:cs="Times New Roman"/>
          <w:spacing w:val="4"/>
          <w:sz w:val="24"/>
          <w:szCs w:val="24"/>
          <w:lang w:eastAsia="pl-PL"/>
        </w:rPr>
        <w:t>obecnych mechanizmów u</w:t>
      </w:r>
      <w:r w:rsidRPr="00F749A5">
        <w:rPr>
          <w:rFonts w:ascii="Times New Roman" w:eastAsia="Times New Roman" w:hAnsi="Times New Roman" w:cs="Times New Roman"/>
          <w:spacing w:val="4"/>
          <w:sz w:val="24"/>
          <w:szCs w:val="24"/>
          <w:lang w:eastAsia="pl-PL"/>
        </w:rPr>
        <w:t>stawowych</w:t>
      </w:r>
      <w:r w:rsidR="00DF26E6" w:rsidRPr="00F749A5">
        <w:rPr>
          <w:rFonts w:ascii="Times New Roman" w:eastAsia="Times New Roman" w:hAnsi="Times New Roman" w:cs="Times New Roman"/>
          <w:spacing w:val="4"/>
          <w:sz w:val="24"/>
          <w:szCs w:val="24"/>
          <w:lang w:eastAsia="pl-PL"/>
        </w:rPr>
        <w:t xml:space="preserve"> (z uwagi na proponowane rozwiązania przejściowe)</w:t>
      </w:r>
      <w:r w:rsidR="003E6D84">
        <w:rPr>
          <w:rFonts w:ascii="Times New Roman" w:eastAsia="Times New Roman" w:hAnsi="Times New Roman" w:cs="Times New Roman"/>
          <w:spacing w:val="4"/>
          <w:sz w:val="24"/>
          <w:szCs w:val="24"/>
          <w:lang w:eastAsia="pl-PL"/>
        </w:rPr>
        <w:t>,</w:t>
      </w:r>
      <w:r w:rsidR="00DF26E6" w:rsidRPr="00F749A5">
        <w:rPr>
          <w:rFonts w:ascii="Times New Roman" w:eastAsia="Times New Roman" w:hAnsi="Times New Roman" w:cs="Times New Roman"/>
          <w:spacing w:val="4"/>
          <w:sz w:val="24"/>
          <w:szCs w:val="24"/>
          <w:lang w:eastAsia="pl-PL"/>
        </w:rPr>
        <w:t xml:space="preserve"> </w:t>
      </w:r>
    </w:p>
    <w:p w:rsidR="00DF26E6" w:rsidRPr="00F749A5" w:rsidRDefault="00DF26E6" w:rsidP="00655511">
      <w:pPr>
        <w:pStyle w:val="Akapitzlist"/>
        <w:numPr>
          <w:ilvl w:val="0"/>
          <w:numId w:val="35"/>
        </w:numPr>
        <w:spacing w:before="120" w:after="0" w:line="360" w:lineRule="auto"/>
        <w:ind w:left="360"/>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lastRenderedPageBreak/>
        <w:t xml:space="preserve">społeczne uzasadnienie dla możliwie szybkiego wejścia w życie zmian ustawowych. Zmiany te </w:t>
      </w:r>
      <w:r w:rsidR="003E6D84" w:rsidRPr="00F749A5">
        <w:rPr>
          <w:rFonts w:ascii="Times New Roman" w:eastAsia="Times New Roman" w:hAnsi="Times New Roman" w:cs="Times New Roman"/>
          <w:spacing w:val="4"/>
          <w:sz w:val="24"/>
          <w:szCs w:val="24"/>
          <w:lang w:eastAsia="pl-PL"/>
        </w:rPr>
        <w:t>będą</w:t>
      </w:r>
      <w:r w:rsidR="003E6D84">
        <w:rPr>
          <w:rFonts w:ascii="Times New Roman" w:eastAsia="Times New Roman" w:hAnsi="Times New Roman" w:cs="Times New Roman"/>
          <w:spacing w:val="4"/>
          <w:sz w:val="24"/>
          <w:szCs w:val="24"/>
          <w:lang w:eastAsia="pl-PL"/>
        </w:rPr>
        <w:t xml:space="preserve"> </w:t>
      </w:r>
      <w:r w:rsidRPr="00F749A5">
        <w:rPr>
          <w:rFonts w:ascii="Times New Roman" w:eastAsia="Times New Roman" w:hAnsi="Times New Roman" w:cs="Times New Roman"/>
          <w:spacing w:val="4"/>
          <w:sz w:val="24"/>
          <w:szCs w:val="24"/>
          <w:lang w:eastAsia="pl-PL"/>
        </w:rPr>
        <w:t>umożliwiały podjęcie kolejnych działań wdrażających nowy instrument wsparcia społecznego budownictwa czynszowego, zgodnie z głównym uzasadnieniem przedłożonego projektu ustawy.</w:t>
      </w:r>
    </w:p>
    <w:p w:rsidR="0024337B" w:rsidRPr="00F749A5" w:rsidRDefault="00D80AAE" w:rsidP="00F749A5">
      <w:pPr>
        <w:spacing w:before="120" w:after="0" w:line="360" w:lineRule="auto"/>
        <w:jc w:val="both"/>
        <w:rPr>
          <w:rFonts w:ascii="Times New Roman" w:eastAsia="Times New Roman" w:hAnsi="Times New Roman" w:cs="Times New Roman"/>
          <w:spacing w:val="4"/>
          <w:sz w:val="24"/>
          <w:szCs w:val="24"/>
          <w:lang w:eastAsia="pl-PL"/>
        </w:rPr>
      </w:pPr>
      <w:r w:rsidRPr="00F749A5">
        <w:rPr>
          <w:rFonts w:ascii="Times New Roman" w:eastAsia="Times New Roman" w:hAnsi="Times New Roman" w:cs="Times New Roman"/>
          <w:spacing w:val="4"/>
          <w:sz w:val="24"/>
          <w:szCs w:val="24"/>
          <w:lang w:eastAsia="pl-PL"/>
        </w:rPr>
        <w:t>Wyjątkiem od powyższej normy będzie ustanowienie</w:t>
      </w:r>
      <w:r w:rsidR="0024337B" w:rsidRPr="00F749A5">
        <w:rPr>
          <w:rFonts w:ascii="Times New Roman" w:eastAsia="Times New Roman" w:hAnsi="Times New Roman" w:cs="Times New Roman"/>
          <w:spacing w:val="4"/>
          <w:sz w:val="24"/>
          <w:szCs w:val="24"/>
          <w:lang w:eastAsia="pl-PL"/>
        </w:rPr>
        <w:t xml:space="preserve"> dłuższego </w:t>
      </w:r>
      <w:r w:rsidR="0024337B" w:rsidRPr="001F1AB1">
        <w:rPr>
          <w:rFonts w:ascii="Times New Roman" w:eastAsia="Times New Roman" w:hAnsi="Times New Roman" w:cs="Times New Roman"/>
          <w:i/>
          <w:spacing w:val="4"/>
          <w:sz w:val="24"/>
          <w:szCs w:val="24"/>
          <w:lang w:eastAsia="pl-PL"/>
        </w:rPr>
        <w:t>vacatio legis</w:t>
      </w:r>
      <w:r w:rsidR="0024337B" w:rsidRPr="00F749A5">
        <w:rPr>
          <w:rFonts w:ascii="Times New Roman" w:eastAsia="Times New Roman" w:hAnsi="Times New Roman" w:cs="Times New Roman"/>
          <w:spacing w:val="4"/>
          <w:sz w:val="24"/>
          <w:szCs w:val="24"/>
          <w:lang w:eastAsia="pl-PL"/>
        </w:rPr>
        <w:t xml:space="preserve"> w stosunku do </w:t>
      </w:r>
      <w:r w:rsidRPr="00F749A5">
        <w:rPr>
          <w:rFonts w:ascii="Times New Roman" w:eastAsia="Times New Roman" w:hAnsi="Times New Roman" w:cs="Times New Roman"/>
          <w:spacing w:val="4"/>
          <w:sz w:val="24"/>
          <w:szCs w:val="24"/>
          <w:lang w:eastAsia="pl-PL"/>
        </w:rPr>
        <w:t>art. 1 pkt 6</w:t>
      </w:r>
      <w:r w:rsidR="0024337B" w:rsidRPr="00F749A5">
        <w:rPr>
          <w:rFonts w:ascii="Times New Roman" w:eastAsia="Times New Roman" w:hAnsi="Times New Roman" w:cs="Times New Roman"/>
          <w:spacing w:val="4"/>
          <w:sz w:val="24"/>
          <w:szCs w:val="24"/>
          <w:lang w:eastAsia="pl-PL"/>
        </w:rPr>
        <w:t xml:space="preserve"> ustawy,</w:t>
      </w:r>
      <w:r w:rsidRPr="00F749A5">
        <w:rPr>
          <w:rFonts w:ascii="Times New Roman" w:eastAsia="Times New Roman" w:hAnsi="Times New Roman" w:cs="Times New Roman"/>
          <w:spacing w:val="4"/>
          <w:sz w:val="24"/>
          <w:szCs w:val="24"/>
          <w:lang w:eastAsia="pl-PL"/>
        </w:rPr>
        <w:t xml:space="preserve"> </w:t>
      </w:r>
      <w:r w:rsidR="0024337B" w:rsidRPr="00F749A5">
        <w:rPr>
          <w:rFonts w:ascii="Times New Roman" w:eastAsia="Times New Roman" w:hAnsi="Times New Roman" w:cs="Times New Roman"/>
          <w:spacing w:val="4"/>
          <w:sz w:val="24"/>
          <w:szCs w:val="24"/>
          <w:lang w:eastAsia="pl-PL"/>
        </w:rPr>
        <w:t>w zakresie dotyczącym nałożenia na ministra właściwego do spraw budownictwa, lokalnego planowania i zagospodarowania przestrzennego oraz mieszkalnictwa obowiązku składania Radzie Ministrów sprawozdania z realizacji rządowego programu popierania budownictwa mieszkaniowego wraz z oceną wdrażania i rekomendacjami na kolejny rok, który wejdzie w życie z dniem 1 stycznia 2017 r.</w:t>
      </w:r>
    </w:p>
    <w:p w:rsidR="00461DFE" w:rsidRPr="00F749A5" w:rsidRDefault="00461DFE" w:rsidP="00F749A5">
      <w:pPr>
        <w:spacing w:before="120" w:after="0" w:line="360" w:lineRule="auto"/>
        <w:jc w:val="both"/>
        <w:rPr>
          <w:rFonts w:ascii="Times New Roman" w:eastAsia="Times New Roman" w:hAnsi="Times New Roman" w:cs="Times New Roman"/>
          <w:spacing w:val="4"/>
          <w:sz w:val="24"/>
          <w:szCs w:val="24"/>
          <w:lang w:eastAsia="pl-PL"/>
        </w:rPr>
      </w:pPr>
    </w:p>
    <w:p w:rsidR="00C24523" w:rsidRPr="00F749A5" w:rsidRDefault="00E764B6" w:rsidP="00F749A5">
      <w:pPr>
        <w:spacing w:before="120" w:after="0" w:line="360" w:lineRule="auto"/>
        <w:contextualSpacing/>
        <w:jc w:val="both"/>
        <w:rPr>
          <w:rFonts w:ascii="Times New Roman" w:eastAsia="Times New Roman" w:hAnsi="Times New Roman" w:cs="Times New Roman"/>
          <w:b/>
          <w:iCs/>
          <w:sz w:val="24"/>
          <w:szCs w:val="24"/>
          <w:lang w:eastAsia="pl-PL"/>
        </w:rPr>
      </w:pPr>
      <w:r w:rsidRPr="00F749A5">
        <w:rPr>
          <w:rFonts w:ascii="Times New Roman" w:eastAsia="Times New Roman" w:hAnsi="Times New Roman" w:cs="Times New Roman"/>
          <w:b/>
          <w:iCs/>
          <w:sz w:val="24"/>
          <w:szCs w:val="24"/>
          <w:lang w:eastAsia="pl-PL"/>
        </w:rPr>
        <w:t xml:space="preserve">Przedkładany projekt ustawy jest zgodny z prawem Unii Europejskiej. </w:t>
      </w:r>
    </w:p>
    <w:p w:rsidR="00B37D20" w:rsidRPr="00655511" w:rsidRDefault="00B37D20" w:rsidP="00F749A5">
      <w:pPr>
        <w:pStyle w:val="Tekstprzypisudolnego"/>
        <w:spacing w:before="120" w:line="360" w:lineRule="auto"/>
        <w:jc w:val="both"/>
        <w:rPr>
          <w:rFonts w:ascii="Times New Roman" w:hAnsi="Times New Roman" w:cs="Times New Roman"/>
          <w:sz w:val="24"/>
          <w:szCs w:val="24"/>
        </w:rPr>
      </w:pPr>
      <w:r w:rsidRPr="00F749A5">
        <w:rPr>
          <w:rFonts w:ascii="Times New Roman" w:hAnsi="Times New Roman" w:cs="Times New Roman"/>
          <w:sz w:val="24"/>
          <w:szCs w:val="24"/>
        </w:rPr>
        <w:t>Projektowana regulacja nie wpływ</w:t>
      </w:r>
      <w:r w:rsidR="003E6D84">
        <w:rPr>
          <w:rFonts w:ascii="Times New Roman" w:hAnsi="Times New Roman" w:cs="Times New Roman"/>
          <w:sz w:val="24"/>
          <w:szCs w:val="24"/>
        </w:rPr>
        <w:t>a</w:t>
      </w:r>
      <w:r w:rsidRPr="00F749A5">
        <w:rPr>
          <w:rFonts w:ascii="Times New Roman" w:hAnsi="Times New Roman" w:cs="Times New Roman"/>
          <w:sz w:val="24"/>
          <w:szCs w:val="24"/>
        </w:rPr>
        <w:t xml:space="preserve"> na ograniczenie uznaniowości, ale ma wpływ na uproszczenie stosowanych procedur </w:t>
      </w:r>
      <w:r w:rsidRPr="00655511">
        <w:rPr>
          <w:rFonts w:ascii="Times New Roman" w:hAnsi="Times New Roman" w:cs="Times New Roman"/>
          <w:sz w:val="24"/>
          <w:szCs w:val="24"/>
        </w:rPr>
        <w:t>poprzez likwidację procedury administracyjnej polegającej na zatwierdzaniu przez ministra właściwego do spraw budownictwa, lokalnego planowania i zagospodarowania przestrzennego oraz mieszkalnictwa statutów oraz umów towarzystw budownictwa społecznego, oraz wszelkich ich zmian.</w:t>
      </w:r>
    </w:p>
    <w:p w:rsidR="00997462" w:rsidRPr="00655511" w:rsidRDefault="00997462" w:rsidP="00F749A5">
      <w:pPr>
        <w:pStyle w:val="ZNIEARTTEKSTzmtekstunieartykuowanego"/>
        <w:ind w:left="0" w:firstLine="0"/>
        <w:contextualSpacing/>
        <w:rPr>
          <w:rFonts w:ascii="Times New Roman" w:hAnsi="Times New Roman" w:cs="Times New Roman"/>
        </w:rPr>
      </w:pPr>
      <w:r w:rsidRPr="00655511">
        <w:rPr>
          <w:rFonts w:ascii="Times New Roman" w:hAnsi="Times New Roman" w:cs="Times New Roman"/>
        </w:rPr>
        <w:t xml:space="preserve">Projekt rozporządzenia nie zawiera przepisów technicznych i w związku z tym nie podlega procedurze notyfikacji w rozumieniu przepisów </w:t>
      </w:r>
      <w:r w:rsidRPr="00655511">
        <w:rPr>
          <w:rFonts w:ascii="Times New Roman" w:hAnsi="Times New Roman" w:cs="Times New Roman"/>
          <w:iCs/>
        </w:rPr>
        <w:t>rozporządzenia Rady Ministrów z dnia 23 grudnia 2002 r. w sprawie sposobu funkcjonowania krajowego systemu notyfikacji norm i aktów prawnych</w:t>
      </w:r>
      <w:r w:rsidRPr="00655511">
        <w:rPr>
          <w:rFonts w:ascii="Times New Roman" w:hAnsi="Times New Roman" w:cs="Times New Roman"/>
        </w:rPr>
        <w:t xml:space="preserve"> (Dz. U. Nr 239, poz. 2039, z późn. zm.).</w:t>
      </w:r>
    </w:p>
    <w:p w:rsidR="000562B0" w:rsidRPr="00655511" w:rsidRDefault="00997462" w:rsidP="00655511">
      <w:pPr>
        <w:autoSpaceDE w:val="0"/>
        <w:autoSpaceDN w:val="0"/>
        <w:adjustRightInd w:val="0"/>
        <w:spacing w:before="120" w:after="0" w:line="360" w:lineRule="auto"/>
        <w:contextualSpacing/>
        <w:jc w:val="both"/>
        <w:rPr>
          <w:rFonts w:ascii="Times New Roman" w:hAnsi="Times New Roman" w:cs="Times New Roman"/>
          <w:sz w:val="24"/>
          <w:szCs w:val="24"/>
        </w:rPr>
      </w:pPr>
      <w:r w:rsidRPr="00655511">
        <w:rPr>
          <w:rFonts w:ascii="Times New Roman" w:hAnsi="Times New Roman" w:cs="Times New Roman"/>
          <w:sz w:val="24"/>
          <w:szCs w:val="24"/>
        </w:rPr>
        <w:t xml:space="preserve">Projektowana regulacja nie mieści się w zakresie przedmiotowym zagadnień podlegających konsultacjom z Europejskim Bankiem Centralnym zgodnie z art. 2 ust. 1 </w:t>
      </w:r>
      <w:r w:rsidRPr="00655511">
        <w:rPr>
          <w:rFonts w:ascii="Times New Roman" w:hAnsi="Times New Roman" w:cs="Times New Roman"/>
          <w:iCs/>
          <w:sz w:val="24"/>
          <w:szCs w:val="24"/>
        </w:rPr>
        <w:t>decyzji Rady z dnia 29 czerwca 1998 r. w sprawie konsultacji Europejskiego Banku Centralnego udzielanych władzom krajowym w sprawie projektów przepisów prawnych</w:t>
      </w:r>
      <w:r w:rsidRPr="00655511">
        <w:rPr>
          <w:rFonts w:ascii="Times New Roman" w:hAnsi="Times New Roman" w:cs="Times New Roman"/>
          <w:sz w:val="24"/>
          <w:szCs w:val="24"/>
        </w:rPr>
        <w:t xml:space="preserve"> (Dz. U</w:t>
      </w:r>
      <w:r w:rsidR="003E6D84">
        <w:rPr>
          <w:rFonts w:ascii="Times New Roman" w:hAnsi="Times New Roman" w:cs="Times New Roman"/>
          <w:sz w:val="24"/>
          <w:szCs w:val="24"/>
        </w:rPr>
        <w:t>rz</w:t>
      </w:r>
      <w:r w:rsidRPr="00655511">
        <w:rPr>
          <w:rFonts w:ascii="Times New Roman" w:hAnsi="Times New Roman" w:cs="Times New Roman"/>
          <w:sz w:val="24"/>
          <w:szCs w:val="24"/>
        </w:rPr>
        <w:t xml:space="preserve">. UE L 189 z </w:t>
      </w:r>
      <w:r w:rsidR="003E6D84">
        <w:rPr>
          <w:rFonts w:ascii="Times New Roman" w:hAnsi="Times New Roman" w:cs="Times New Roman"/>
          <w:sz w:val="24"/>
          <w:szCs w:val="24"/>
        </w:rPr>
        <w:t>0</w:t>
      </w:r>
      <w:r w:rsidRPr="00655511">
        <w:rPr>
          <w:rFonts w:ascii="Times New Roman" w:hAnsi="Times New Roman" w:cs="Times New Roman"/>
          <w:sz w:val="24"/>
          <w:szCs w:val="24"/>
        </w:rPr>
        <w:t>3.07.1998 r., s. 42; Dz. U</w:t>
      </w:r>
      <w:r w:rsidR="003E6D84">
        <w:rPr>
          <w:rFonts w:ascii="Times New Roman" w:hAnsi="Times New Roman" w:cs="Times New Roman"/>
          <w:sz w:val="24"/>
          <w:szCs w:val="24"/>
        </w:rPr>
        <w:t>rz</w:t>
      </w:r>
      <w:r w:rsidRPr="00655511">
        <w:rPr>
          <w:rFonts w:ascii="Times New Roman" w:hAnsi="Times New Roman" w:cs="Times New Roman"/>
          <w:sz w:val="24"/>
          <w:szCs w:val="24"/>
        </w:rPr>
        <w:t>. UE Polskie wydanie specjalne, rozdz. 1, t. 1, s. 446).</w:t>
      </w:r>
    </w:p>
    <w:p w:rsidR="00795EE2" w:rsidRDefault="00997462" w:rsidP="00F749A5">
      <w:pPr>
        <w:spacing w:before="120" w:after="0" w:line="360" w:lineRule="auto"/>
        <w:contextualSpacing/>
        <w:jc w:val="both"/>
        <w:rPr>
          <w:rFonts w:ascii="Times New Roman" w:hAnsi="Times New Roman" w:cs="Times New Roman"/>
          <w:sz w:val="24"/>
          <w:szCs w:val="24"/>
        </w:rPr>
      </w:pPr>
      <w:r w:rsidRPr="00655511">
        <w:rPr>
          <w:rFonts w:ascii="Times New Roman" w:hAnsi="Times New Roman" w:cs="Times New Roman"/>
          <w:sz w:val="24"/>
          <w:szCs w:val="24"/>
        </w:rPr>
        <w:t xml:space="preserve">Zgodnie z przepisami </w:t>
      </w:r>
      <w:r w:rsidRPr="00655511">
        <w:rPr>
          <w:rFonts w:ascii="Times New Roman" w:hAnsi="Times New Roman" w:cs="Times New Roman"/>
          <w:iCs/>
          <w:sz w:val="24"/>
          <w:szCs w:val="24"/>
        </w:rPr>
        <w:t xml:space="preserve">ustawy z dnia 7 lipca 2005 r. o działalności lobbingowej w procesie stanowienia prawa </w:t>
      </w:r>
      <w:r w:rsidRPr="00655511">
        <w:rPr>
          <w:rFonts w:ascii="Times New Roman" w:hAnsi="Times New Roman" w:cs="Times New Roman"/>
          <w:sz w:val="24"/>
          <w:szCs w:val="24"/>
        </w:rPr>
        <w:t>(Dz. U. Nr 169, poz. 1414, z późn</w:t>
      </w:r>
      <w:r w:rsidRPr="00F749A5">
        <w:rPr>
          <w:rFonts w:ascii="Times New Roman" w:hAnsi="Times New Roman" w:cs="Times New Roman"/>
          <w:sz w:val="24"/>
          <w:szCs w:val="24"/>
        </w:rPr>
        <w:t>. zm.), projekt został zamieszczony</w:t>
      </w:r>
      <w:r w:rsidR="000562B0" w:rsidRPr="00F749A5">
        <w:rPr>
          <w:rFonts w:ascii="Times New Roman" w:hAnsi="Times New Roman" w:cs="Times New Roman"/>
          <w:sz w:val="24"/>
          <w:szCs w:val="24"/>
        </w:rPr>
        <w:t xml:space="preserve"> </w:t>
      </w:r>
      <w:r w:rsidRPr="00F749A5">
        <w:rPr>
          <w:rFonts w:ascii="Times New Roman" w:hAnsi="Times New Roman" w:cs="Times New Roman"/>
          <w:sz w:val="24"/>
          <w:szCs w:val="24"/>
        </w:rPr>
        <w:t>w Biuletynie Informacji Publicznej Rządowego Centrum Legislacji</w:t>
      </w:r>
      <w:r w:rsidR="00452D98" w:rsidRPr="00F749A5">
        <w:rPr>
          <w:rFonts w:ascii="Times New Roman" w:hAnsi="Times New Roman" w:cs="Times New Roman"/>
          <w:sz w:val="24"/>
          <w:szCs w:val="24"/>
        </w:rPr>
        <w:t>.</w:t>
      </w:r>
    </w:p>
    <w:p w:rsidR="00F749A5" w:rsidRDefault="00F749A5" w:rsidP="00F749A5">
      <w:pPr>
        <w:spacing w:before="120" w:after="0" w:line="360" w:lineRule="auto"/>
        <w:contextualSpacing/>
        <w:jc w:val="both"/>
        <w:rPr>
          <w:rFonts w:ascii="Times New Roman" w:hAnsi="Times New Roman" w:cs="Times New Roman"/>
          <w:sz w:val="24"/>
          <w:szCs w:val="24"/>
        </w:rPr>
        <w:sectPr w:rsidR="00F749A5" w:rsidSect="008F29FA">
          <w:pgSz w:w="11906" w:h="16838"/>
          <w:pgMar w:top="1417" w:right="1417" w:bottom="1417" w:left="1417" w:header="708" w:footer="708" w:gutter="0"/>
          <w:cols w:space="708"/>
          <w:docGrid w:linePitch="360"/>
        </w:sectPr>
      </w:pPr>
    </w:p>
    <w:p w:rsidR="00F749A5" w:rsidRPr="00F749A5" w:rsidRDefault="00F749A5" w:rsidP="00F749A5">
      <w:pPr>
        <w:spacing w:before="120" w:after="0" w:line="360" w:lineRule="auto"/>
        <w:contextualSpacing/>
        <w:jc w:val="both"/>
        <w:rPr>
          <w:rFonts w:ascii="Times New Roman" w:hAnsi="Times New Roman" w:cs="Times New Roman"/>
          <w:sz w:val="24"/>
          <w:szCs w:val="24"/>
        </w:rPr>
      </w:pPr>
    </w:p>
    <w:tbl>
      <w:tblPr>
        <w:tblW w:w="10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7"/>
        <w:gridCol w:w="247"/>
        <w:gridCol w:w="391"/>
        <w:gridCol w:w="899"/>
        <w:gridCol w:w="409"/>
        <w:gridCol w:w="338"/>
        <w:gridCol w:w="231"/>
        <w:gridCol w:w="423"/>
        <w:gridCol w:w="144"/>
        <w:gridCol w:w="10"/>
        <w:gridCol w:w="414"/>
        <w:gridCol w:w="286"/>
        <w:gridCol w:w="8"/>
        <w:gridCol w:w="709"/>
        <w:gridCol w:w="134"/>
        <w:gridCol w:w="140"/>
        <w:gridCol w:w="243"/>
        <w:gridCol w:w="192"/>
        <w:gridCol w:w="275"/>
        <w:gridCol w:w="140"/>
        <w:gridCol w:w="152"/>
        <w:gridCol w:w="563"/>
        <w:gridCol w:w="146"/>
        <w:gridCol w:w="567"/>
        <w:gridCol w:w="137"/>
        <w:gridCol w:w="571"/>
        <w:gridCol w:w="149"/>
        <w:gridCol w:w="560"/>
        <w:gridCol w:w="851"/>
        <w:gridCol w:w="14"/>
        <w:gridCol w:w="20"/>
      </w:tblGrid>
      <w:tr w:rsidR="00F749A5" w:rsidRPr="00F749A5" w:rsidTr="00F749A5">
        <w:trPr>
          <w:gridAfter w:val="2"/>
          <w:wAfter w:w="34" w:type="dxa"/>
          <w:trHeight w:val="1611"/>
        </w:trPr>
        <w:tc>
          <w:tcPr>
            <w:tcW w:w="6613" w:type="dxa"/>
            <w:gridSpan w:val="17"/>
          </w:tcPr>
          <w:p w:rsidR="00F749A5" w:rsidRPr="00F749A5" w:rsidRDefault="00F749A5" w:rsidP="00F749A5">
            <w:pPr>
              <w:spacing w:before="120" w:after="0" w:line="240" w:lineRule="auto"/>
              <w:ind w:hanging="45"/>
              <w:rPr>
                <w:rFonts w:ascii="Times New Roman" w:eastAsia="Calibri" w:hAnsi="Times New Roman" w:cs="Times New Roman"/>
                <w:color w:val="000000"/>
              </w:rPr>
            </w:pPr>
            <w:bookmarkStart w:id="1" w:name="t1"/>
            <w:r w:rsidRPr="00F749A5">
              <w:rPr>
                <w:rFonts w:ascii="Times New Roman" w:eastAsia="Calibri" w:hAnsi="Times New Roman" w:cs="Times New Roman"/>
                <w:b/>
                <w:color w:val="000000"/>
              </w:rPr>
              <w:t>Nazwa projektu</w:t>
            </w:r>
          </w:p>
          <w:p w:rsidR="00F749A5" w:rsidRPr="00F749A5" w:rsidRDefault="00F749A5" w:rsidP="00F749A5">
            <w:pPr>
              <w:spacing w:after="0" w:line="240" w:lineRule="auto"/>
              <w:ind w:hanging="34"/>
              <w:rPr>
                <w:rFonts w:ascii="Times New Roman" w:eastAsia="Calibri" w:hAnsi="Times New Roman" w:cs="Times New Roman"/>
                <w:color w:val="000000"/>
              </w:rPr>
            </w:pPr>
            <w:r w:rsidRPr="00F749A5">
              <w:rPr>
                <w:rFonts w:ascii="Times New Roman" w:eastAsia="Calibri" w:hAnsi="Times New Roman" w:cs="Times New Roman"/>
                <w:color w:val="000000"/>
              </w:rPr>
              <w:t>Ustawa o zmianie ustawy o niektórych formach popierania budownictwa mieszkaniowego oraz niektórych innych ustaw</w:t>
            </w:r>
          </w:p>
          <w:p w:rsidR="00F749A5" w:rsidRPr="00F749A5" w:rsidRDefault="00F749A5" w:rsidP="00F749A5">
            <w:pPr>
              <w:spacing w:before="120" w:after="0" w:line="240" w:lineRule="auto"/>
              <w:ind w:hanging="45"/>
              <w:rPr>
                <w:rFonts w:ascii="Times New Roman" w:eastAsia="Calibri" w:hAnsi="Times New Roman" w:cs="Times New Roman"/>
                <w:b/>
                <w:color w:val="000000"/>
              </w:rPr>
            </w:pPr>
            <w:r w:rsidRPr="00F749A5">
              <w:rPr>
                <w:rFonts w:ascii="Times New Roman" w:eastAsia="Calibri" w:hAnsi="Times New Roman" w:cs="Times New Roman"/>
                <w:b/>
                <w:color w:val="000000"/>
              </w:rPr>
              <w:t>Ministerstwo wiodące i ministerstwa współpracujące</w:t>
            </w:r>
          </w:p>
          <w:bookmarkEnd w:id="1"/>
          <w:p w:rsidR="00F749A5" w:rsidRPr="00F749A5" w:rsidRDefault="00F749A5" w:rsidP="00F749A5">
            <w:pPr>
              <w:spacing w:after="0" w:line="240" w:lineRule="auto"/>
              <w:ind w:hanging="34"/>
              <w:rPr>
                <w:rFonts w:ascii="Times New Roman" w:eastAsia="Calibri" w:hAnsi="Times New Roman" w:cs="Times New Roman"/>
                <w:color w:val="000000"/>
              </w:rPr>
            </w:pPr>
            <w:r w:rsidRPr="00F749A5">
              <w:rPr>
                <w:rFonts w:ascii="Times New Roman" w:eastAsia="Calibri" w:hAnsi="Times New Roman" w:cs="Times New Roman"/>
                <w:color w:val="000000"/>
              </w:rPr>
              <w:t>Ministerstwo Infrastruktury i Rozwoju</w:t>
            </w:r>
          </w:p>
          <w:p w:rsidR="00F749A5" w:rsidRPr="00F749A5" w:rsidRDefault="00F749A5" w:rsidP="00F749A5">
            <w:pPr>
              <w:spacing w:after="0" w:line="240" w:lineRule="auto"/>
              <w:rPr>
                <w:rFonts w:ascii="Times New Roman" w:eastAsia="Calibri" w:hAnsi="Times New Roman" w:cs="Times New Roman"/>
                <w:b/>
                <w:sz w:val="21"/>
                <w:szCs w:val="24"/>
              </w:rPr>
            </w:pPr>
          </w:p>
          <w:p w:rsidR="00F749A5" w:rsidRPr="00F749A5" w:rsidRDefault="00F749A5" w:rsidP="00F749A5">
            <w:pPr>
              <w:spacing w:after="0" w:line="240" w:lineRule="auto"/>
              <w:rPr>
                <w:rFonts w:ascii="Times New Roman" w:eastAsia="Calibri" w:hAnsi="Times New Roman" w:cs="Times New Roman"/>
                <w:b/>
                <w:sz w:val="21"/>
                <w:szCs w:val="21"/>
              </w:rPr>
            </w:pPr>
            <w:r w:rsidRPr="00F749A5">
              <w:rPr>
                <w:rFonts w:ascii="Times New Roman" w:eastAsia="Calibri" w:hAnsi="Times New Roman" w:cs="Times New Roman"/>
                <w:b/>
                <w:sz w:val="21"/>
                <w:szCs w:val="24"/>
              </w:rPr>
              <w:t>Osoba odpowiedzialna za projekt w randze Ministra, Sekretarza Stanu lub Podsekretarza Stanu</w:t>
            </w:r>
            <w:r w:rsidRPr="00F749A5">
              <w:rPr>
                <w:rFonts w:ascii="Times New Roman" w:eastAsia="Calibri" w:hAnsi="Times New Roman" w:cs="Times New Roman"/>
                <w:b/>
                <w:sz w:val="21"/>
                <w:szCs w:val="21"/>
              </w:rPr>
              <w:t xml:space="preserve"> </w:t>
            </w:r>
          </w:p>
          <w:p w:rsidR="00F749A5" w:rsidRPr="00F749A5" w:rsidRDefault="00F749A5" w:rsidP="00F749A5">
            <w:pPr>
              <w:spacing w:after="0" w:line="240" w:lineRule="auto"/>
              <w:rPr>
                <w:rFonts w:ascii="Times New Roman" w:eastAsia="Calibri" w:hAnsi="Times New Roman" w:cs="Times New Roman"/>
                <w:sz w:val="21"/>
                <w:szCs w:val="21"/>
              </w:rPr>
            </w:pPr>
            <w:r w:rsidRPr="00F749A5">
              <w:rPr>
                <w:rFonts w:ascii="Times New Roman" w:eastAsia="Calibri" w:hAnsi="Times New Roman" w:cs="Times New Roman"/>
                <w:sz w:val="21"/>
                <w:szCs w:val="21"/>
              </w:rPr>
              <w:t>Paweł Orłowski, Podsekretarz Stanu w Ministerstwie Infrastruktury i Rozwoju</w:t>
            </w:r>
          </w:p>
          <w:p w:rsidR="00F749A5" w:rsidRPr="00F749A5" w:rsidRDefault="00F749A5" w:rsidP="00F749A5">
            <w:pPr>
              <w:spacing w:before="120" w:after="0" w:line="240" w:lineRule="auto"/>
              <w:ind w:hanging="45"/>
              <w:rPr>
                <w:rFonts w:ascii="Times New Roman" w:eastAsia="Calibri" w:hAnsi="Times New Roman" w:cs="Times New Roman"/>
                <w:b/>
                <w:color w:val="000000"/>
              </w:rPr>
            </w:pPr>
            <w:r w:rsidRPr="00F749A5">
              <w:rPr>
                <w:rFonts w:ascii="Times New Roman" w:eastAsia="Calibri" w:hAnsi="Times New Roman" w:cs="Times New Roman"/>
                <w:b/>
                <w:color w:val="000000"/>
              </w:rPr>
              <w:t>Kontakt do opiekuna merytorycznego projektu</w:t>
            </w:r>
          </w:p>
          <w:p w:rsidR="00F749A5" w:rsidRPr="00F749A5" w:rsidRDefault="00F749A5" w:rsidP="00F749A5">
            <w:pPr>
              <w:spacing w:after="0" w:line="240" w:lineRule="auto"/>
              <w:ind w:hanging="34"/>
              <w:rPr>
                <w:rFonts w:ascii="Times New Roman" w:eastAsia="Calibri" w:hAnsi="Times New Roman" w:cs="Times New Roman"/>
                <w:color w:val="000000"/>
              </w:rPr>
            </w:pPr>
            <w:r w:rsidRPr="00F749A5">
              <w:rPr>
                <w:rFonts w:ascii="Times New Roman" w:eastAsia="Calibri" w:hAnsi="Times New Roman" w:cs="Times New Roman"/>
                <w:color w:val="000000"/>
              </w:rPr>
              <w:t>Anna Kowalczyk, Główny Specjalista w Wydziale Budownictwa Społecznego w Departamencie Mieszkalnictwa (</w:t>
            </w:r>
            <w:proofErr w:type="spellStart"/>
            <w:r w:rsidRPr="00F749A5">
              <w:rPr>
                <w:rFonts w:ascii="Times New Roman" w:eastAsia="Calibri" w:hAnsi="Times New Roman" w:cs="Times New Roman"/>
                <w:color w:val="000000"/>
              </w:rPr>
              <w:t>MIiR</w:t>
            </w:r>
            <w:proofErr w:type="spellEnd"/>
            <w:r w:rsidRPr="00F749A5">
              <w:rPr>
                <w:rFonts w:ascii="Times New Roman" w:eastAsia="Calibri" w:hAnsi="Times New Roman" w:cs="Times New Roman"/>
                <w:color w:val="000000"/>
              </w:rPr>
              <w:t xml:space="preserve">), </w:t>
            </w:r>
            <w:r w:rsidRPr="00F749A5">
              <w:rPr>
                <w:rFonts w:ascii="Times New Roman" w:eastAsia="Calibri" w:hAnsi="Times New Roman" w:cs="Times New Roman"/>
                <w:color w:val="000000"/>
              </w:rPr>
              <w:br/>
              <w:t>tel. 22</w:t>
            </w:r>
            <w:r>
              <w:rPr>
                <w:rFonts w:ascii="Times New Roman" w:eastAsia="Calibri" w:hAnsi="Times New Roman" w:cs="Times New Roman"/>
                <w:color w:val="000000"/>
              </w:rPr>
              <w:t xml:space="preserve"> </w:t>
            </w:r>
            <w:r w:rsidRPr="00F749A5">
              <w:rPr>
                <w:rFonts w:ascii="Times New Roman" w:eastAsia="Calibri" w:hAnsi="Times New Roman" w:cs="Times New Roman"/>
                <w:color w:val="000000"/>
              </w:rPr>
              <w:t>522 53 14, e-mail: kowalczyka@mir.gov.pl</w:t>
            </w:r>
          </w:p>
        </w:tc>
        <w:tc>
          <w:tcPr>
            <w:tcW w:w="4303" w:type="dxa"/>
            <w:gridSpan w:val="12"/>
            <w:shd w:val="clear" w:color="auto" w:fill="FFFFFF"/>
          </w:tcPr>
          <w:p w:rsidR="00F749A5" w:rsidRPr="00F749A5" w:rsidRDefault="00F749A5" w:rsidP="00F749A5">
            <w:pPr>
              <w:spacing w:after="0" w:line="240" w:lineRule="auto"/>
              <w:rPr>
                <w:rFonts w:ascii="Times New Roman" w:eastAsia="Calibri" w:hAnsi="Times New Roman" w:cs="Times New Roman"/>
                <w:b/>
                <w:sz w:val="21"/>
                <w:szCs w:val="21"/>
              </w:rPr>
            </w:pPr>
            <w:r w:rsidRPr="00F749A5">
              <w:rPr>
                <w:rFonts w:ascii="Times New Roman" w:eastAsia="Calibri" w:hAnsi="Times New Roman" w:cs="Times New Roman"/>
                <w:b/>
                <w:sz w:val="21"/>
                <w:szCs w:val="21"/>
              </w:rPr>
              <w:t>Data sporządzenia</w:t>
            </w:r>
            <w:r w:rsidRPr="00F749A5">
              <w:rPr>
                <w:rFonts w:ascii="Times New Roman" w:eastAsia="Calibri" w:hAnsi="Times New Roman" w:cs="Times New Roman"/>
                <w:b/>
                <w:sz w:val="21"/>
                <w:szCs w:val="21"/>
              </w:rPr>
              <w:br/>
            </w:r>
            <w:r w:rsidRPr="00F749A5">
              <w:rPr>
                <w:rFonts w:ascii="Times New Roman" w:eastAsia="Calibri" w:hAnsi="Times New Roman" w:cs="Times New Roman"/>
                <w:sz w:val="21"/>
                <w:szCs w:val="21"/>
              </w:rPr>
              <w:t>08</w:t>
            </w:r>
            <w:r>
              <w:rPr>
                <w:rFonts w:ascii="Times New Roman" w:eastAsia="Calibri" w:hAnsi="Times New Roman" w:cs="Times New Roman"/>
                <w:sz w:val="21"/>
                <w:szCs w:val="21"/>
              </w:rPr>
              <w:t xml:space="preserve"> </w:t>
            </w:r>
            <w:r w:rsidRPr="00F749A5">
              <w:rPr>
                <w:rFonts w:ascii="Times New Roman" w:eastAsia="Calibri" w:hAnsi="Times New Roman" w:cs="Times New Roman"/>
                <w:sz w:val="21"/>
                <w:szCs w:val="21"/>
              </w:rPr>
              <w:t>czerwca 2015 r.</w:t>
            </w:r>
          </w:p>
          <w:p w:rsidR="00F749A5" w:rsidRPr="00F749A5" w:rsidRDefault="00F749A5" w:rsidP="00F749A5">
            <w:pPr>
              <w:spacing w:after="0" w:line="240" w:lineRule="auto"/>
              <w:rPr>
                <w:rFonts w:ascii="Times New Roman" w:eastAsia="Calibri" w:hAnsi="Times New Roman" w:cs="Times New Roman"/>
                <w:b/>
              </w:rPr>
            </w:pPr>
          </w:p>
          <w:p w:rsidR="00F749A5" w:rsidRPr="00F749A5" w:rsidRDefault="00F749A5" w:rsidP="00F749A5">
            <w:pPr>
              <w:spacing w:after="0" w:line="240" w:lineRule="auto"/>
              <w:rPr>
                <w:rFonts w:ascii="Times New Roman" w:eastAsia="Calibri" w:hAnsi="Times New Roman" w:cs="Times New Roman"/>
                <w:b/>
              </w:rPr>
            </w:pPr>
            <w:r w:rsidRPr="00F749A5">
              <w:rPr>
                <w:rFonts w:ascii="Times New Roman" w:eastAsia="Calibri" w:hAnsi="Times New Roman" w:cs="Times New Roman"/>
                <w:b/>
              </w:rPr>
              <w:t xml:space="preserve">Źródło: </w:t>
            </w:r>
            <w:bookmarkStart w:id="2" w:name="Lista1"/>
          </w:p>
          <w:bookmarkEnd w:id="2"/>
          <w:p w:rsidR="00F749A5" w:rsidRPr="00F749A5" w:rsidRDefault="00F749A5" w:rsidP="00F749A5">
            <w:pPr>
              <w:spacing w:after="0" w:line="240" w:lineRule="auto"/>
              <w:rPr>
                <w:rFonts w:ascii="Times New Roman" w:eastAsia="Calibri" w:hAnsi="Times New Roman" w:cs="Times New Roman"/>
              </w:rPr>
            </w:pPr>
            <w:r w:rsidRPr="00F749A5">
              <w:rPr>
                <w:rFonts w:ascii="Times New Roman" w:eastAsia="Calibri" w:hAnsi="Times New Roman" w:cs="Times New Roman"/>
              </w:rPr>
              <w:t>Wykaz prac legislacyjnych Rady Ministrów</w:t>
            </w:r>
          </w:p>
          <w:p w:rsidR="00F749A5" w:rsidRPr="00F749A5" w:rsidRDefault="00F749A5" w:rsidP="00F749A5">
            <w:pPr>
              <w:spacing w:after="0" w:line="240" w:lineRule="auto"/>
              <w:rPr>
                <w:rFonts w:ascii="Times New Roman" w:eastAsia="Calibri" w:hAnsi="Times New Roman" w:cs="Times New Roman"/>
              </w:rPr>
            </w:pPr>
          </w:p>
          <w:p w:rsidR="00F749A5" w:rsidRPr="00F749A5" w:rsidRDefault="00F749A5" w:rsidP="00F749A5">
            <w:pPr>
              <w:spacing w:before="120" w:after="0" w:line="240" w:lineRule="auto"/>
              <w:rPr>
                <w:rFonts w:ascii="Times New Roman" w:eastAsia="Calibri" w:hAnsi="Times New Roman" w:cs="Times New Roman"/>
                <w:color w:val="000000"/>
              </w:rPr>
            </w:pPr>
            <w:r w:rsidRPr="00F749A5">
              <w:rPr>
                <w:rFonts w:ascii="Times New Roman" w:eastAsia="Calibri" w:hAnsi="Times New Roman" w:cs="Times New Roman"/>
                <w:b/>
                <w:color w:val="000000"/>
              </w:rPr>
              <w:t>Nr w wykazie prac</w:t>
            </w:r>
            <w:r w:rsidRPr="00F749A5">
              <w:rPr>
                <w:rFonts w:ascii="Times New Roman" w:eastAsia="Calibri" w:hAnsi="Times New Roman" w:cs="Times New Roman"/>
                <w:color w:val="000000"/>
              </w:rPr>
              <w:t>:</w:t>
            </w:r>
            <w:r>
              <w:rPr>
                <w:rFonts w:ascii="Times New Roman" w:eastAsia="Calibri" w:hAnsi="Times New Roman" w:cs="Times New Roman"/>
                <w:color w:val="000000"/>
              </w:rPr>
              <w:t xml:space="preserve"> </w:t>
            </w:r>
            <w:r w:rsidRPr="00F749A5">
              <w:rPr>
                <w:rFonts w:ascii="Times New Roman" w:eastAsia="Calibri" w:hAnsi="Times New Roman" w:cs="Times New Roman"/>
                <w:color w:val="000000"/>
              </w:rPr>
              <w:t>UD 191</w:t>
            </w:r>
          </w:p>
          <w:p w:rsidR="00F749A5" w:rsidRPr="00F749A5" w:rsidRDefault="00F749A5" w:rsidP="00F749A5">
            <w:pPr>
              <w:spacing w:after="0" w:line="240" w:lineRule="auto"/>
              <w:rPr>
                <w:rFonts w:ascii="Times New Roman" w:eastAsia="Calibri" w:hAnsi="Times New Roman" w:cs="Times New Roman"/>
                <w:color w:val="000000"/>
                <w:sz w:val="28"/>
                <w:szCs w:val="28"/>
              </w:rPr>
            </w:pPr>
          </w:p>
        </w:tc>
      </w:tr>
      <w:tr w:rsidR="00F749A5" w:rsidRPr="00F749A5" w:rsidTr="00F749A5">
        <w:trPr>
          <w:gridAfter w:val="2"/>
          <w:wAfter w:w="34" w:type="dxa"/>
          <w:trHeight w:val="142"/>
        </w:trPr>
        <w:tc>
          <w:tcPr>
            <w:tcW w:w="10916" w:type="dxa"/>
            <w:gridSpan w:val="29"/>
            <w:shd w:val="clear" w:color="auto" w:fill="99CCFF"/>
          </w:tcPr>
          <w:p w:rsidR="00F749A5" w:rsidRPr="00F749A5" w:rsidRDefault="00F749A5" w:rsidP="00F749A5">
            <w:pPr>
              <w:spacing w:after="0" w:line="240" w:lineRule="auto"/>
              <w:ind w:left="57"/>
              <w:jc w:val="center"/>
              <w:rPr>
                <w:rFonts w:ascii="Times New Roman" w:eastAsia="Calibri" w:hAnsi="Times New Roman" w:cs="Times New Roman"/>
                <w:b/>
                <w:color w:val="FFFFFF"/>
                <w:sz w:val="32"/>
                <w:szCs w:val="32"/>
              </w:rPr>
            </w:pPr>
            <w:r w:rsidRPr="00F749A5">
              <w:rPr>
                <w:rFonts w:ascii="Times New Roman" w:eastAsia="Calibri" w:hAnsi="Times New Roman" w:cs="Times New Roman"/>
                <w:b/>
                <w:color w:val="FFFFFF"/>
                <w:sz w:val="32"/>
                <w:szCs w:val="32"/>
              </w:rPr>
              <w:t>OCENA SKUTKÓW REGULACJI</w:t>
            </w:r>
          </w:p>
        </w:tc>
      </w:tr>
      <w:tr w:rsidR="00F749A5" w:rsidRPr="00F749A5" w:rsidTr="00F749A5">
        <w:trPr>
          <w:gridAfter w:val="2"/>
          <w:wAfter w:w="34" w:type="dxa"/>
          <w:trHeight w:val="333"/>
        </w:trPr>
        <w:tc>
          <w:tcPr>
            <w:tcW w:w="10916" w:type="dxa"/>
            <w:gridSpan w:val="29"/>
            <w:shd w:val="clear" w:color="auto" w:fill="99CCFF"/>
            <w:vAlign w:val="center"/>
          </w:tcPr>
          <w:p w:rsidR="00F749A5" w:rsidRPr="00F749A5" w:rsidRDefault="00F749A5" w:rsidP="00F749A5">
            <w:pPr>
              <w:numPr>
                <w:ilvl w:val="0"/>
                <w:numId w:val="38"/>
              </w:numPr>
              <w:spacing w:before="60" w:after="60" w:line="240" w:lineRule="auto"/>
              <w:ind w:left="318" w:hanging="284"/>
              <w:jc w:val="both"/>
              <w:rPr>
                <w:rFonts w:ascii="Times New Roman" w:eastAsia="Calibri" w:hAnsi="Times New Roman" w:cs="Times New Roman"/>
                <w:b/>
                <w:color w:val="000000"/>
                <w:sz w:val="21"/>
                <w:szCs w:val="21"/>
              </w:rPr>
            </w:pPr>
            <w:r w:rsidRPr="00F749A5">
              <w:rPr>
                <w:rFonts w:ascii="Times New Roman" w:eastAsia="Calibri" w:hAnsi="Times New Roman" w:cs="Times New Roman"/>
                <w:b/>
                <w:sz w:val="21"/>
                <w:szCs w:val="21"/>
              </w:rPr>
              <w:t>Jaki problem jest rozwiązywany?</w:t>
            </w:r>
            <w:bookmarkStart w:id="3" w:name="Wybór1"/>
            <w:bookmarkEnd w:id="3"/>
          </w:p>
        </w:tc>
      </w:tr>
      <w:tr w:rsidR="00F749A5" w:rsidRPr="00F749A5" w:rsidTr="00F749A5">
        <w:trPr>
          <w:gridAfter w:val="2"/>
          <w:wAfter w:w="34" w:type="dxa"/>
          <w:trHeight w:val="142"/>
        </w:trPr>
        <w:tc>
          <w:tcPr>
            <w:tcW w:w="10916" w:type="dxa"/>
            <w:gridSpan w:val="29"/>
            <w:shd w:val="clear" w:color="auto" w:fill="FFFFFF"/>
          </w:tcPr>
          <w:p w:rsidR="00F749A5" w:rsidRPr="00F749A5" w:rsidRDefault="00F749A5" w:rsidP="00F749A5">
            <w:pPr>
              <w:spacing w:after="0" w:line="240" w:lineRule="auto"/>
              <w:jc w:val="both"/>
              <w:rPr>
                <w:rFonts w:ascii="Times New Roman" w:eastAsia="Calibri" w:hAnsi="Times New Roman" w:cs="Times New Roman"/>
                <w:color w:val="000000"/>
                <w:sz w:val="21"/>
                <w:szCs w:val="21"/>
              </w:rPr>
            </w:pPr>
            <w:r w:rsidRPr="00F749A5">
              <w:rPr>
                <w:rFonts w:ascii="Times New Roman" w:eastAsia="Calibri" w:hAnsi="Times New Roman" w:cs="Times New Roman"/>
                <w:spacing w:val="4"/>
                <w:sz w:val="21"/>
                <w:szCs w:val="21"/>
              </w:rPr>
              <w:t xml:space="preserve">Wobec stopniowej redukcji statystycznego deficytu mieszkaniowego podstawową barierą dalszej poprawy stanu zaspokojenia potrzeb mieszkaniowych w Polsce </w:t>
            </w:r>
            <w:r w:rsidRPr="00655511">
              <w:rPr>
                <w:rFonts w:ascii="Times New Roman" w:eastAsia="Calibri" w:hAnsi="Times New Roman" w:cs="Times New Roman"/>
                <w:spacing w:val="4"/>
                <w:sz w:val="21"/>
                <w:szCs w:val="21"/>
              </w:rPr>
              <w:t xml:space="preserve">jest problem ograniczonej dostępności cenowej mieszkań. Problem ten w największym zakresie ogniskuje się w grupach ludności o niskich dochodach oraz w odniesieniu do gospodarstw domowych o szczególnych potrzebach mieszkaniowych (w szczególności rodziny z dziećmi). </w:t>
            </w:r>
            <w:r w:rsidRPr="00655511">
              <w:rPr>
                <w:rFonts w:ascii="Times New Roman" w:eastAsia="Calibri" w:hAnsi="Times New Roman" w:cs="Times New Roman"/>
                <w:sz w:val="21"/>
                <w:szCs w:val="21"/>
              </w:rPr>
              <w:t>Analizy dostępności mieszkań wskazują przy tym na występowanie luki w dostępie do instrumentów wsparcia mieszkalnictwa przez te osoby i rodziny, które uzyskują zbyt wysokie dochody, aby móc ubiegać się o lokal komunalny, a jednocześnie zbyt niskie, aby uzyskać możliwość zaciągnięcia kredytu na zakup mieszkania na własność, nawet przy wykorzystaniu programu „Mieszkanie dla młodych”</w:t>
            </w:r>
            <w:r w:rsidRPr="00655511">
              <w:rPr>
                <w:rFonts w:ascii="Times New Roman" w:eastAsia="Times New Roman" w:hAnsi="Times New Roman" w:cs="Times New Roman"/>
                <w:sz w:val="21"/>
                <w:szCs w:val="21"/>
                <w:lang w:eastAsia="pl-PL"/>
              </w:rPr>
              <w:t>.</w:t>
            </w:r>
          </w:p>
        </w:tc>
      </w:tr>
      <w:tr w:rsidR="00F749A5" w:rsidRPr="00F749A5" w:rsidTr="00F749A5">
        <w:trPr>
          <w:gridAfter w:val="2"/>
          <w:wAfter w:w="34" w:type="dxa"/>
          <w:trHeight w:val="142"/>
        </w:trPr>
        <w:tc>
          <w:tcPr>
            <w:tcW w:w="10916" w:type="dxa"/>
            <w:gridSpan w:val="29"/>
            <w:shd w:val="clear" w:color="auto" w:fill="99CCFF"/>
            <w:vAlign w:val="center"/>
          </w:tcPr>
          <w:p w:rsidR="00F749A5" w:rsidRPr="00F749A5" w:rsidRDefault="00F749A5" w:rsidP="00F749A5">
            <w:pPr>
              <w:numPr>
                <w:ilvl w:val="0"/>
                <w:numId w:val="38"/>
              </w:numPr>
              <w:spacing w:before="60" w:after="60" w:line="240" w:lineRule="auto"/>
              <w:ind w:left="318" w:hanging="284"/>
              <w:jc w:val="both"/>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pacing w:val="-2"/>
                <w:sz w:val="21"/>
                <w:szCs w:val="21"/>
              </w:rPr>
              <w:t>Rekomendowane rozwiązanie, w tym planowane narzędzia interwencji, i oczekiwany efekt</w:t>
            </w:r>
          </w:p>
        </w:tc>
      </w:tr>
      <w:tr w:rsidR="00F749A5" w:rsidRPr="00F749A5" w:rsidTr="00F749A5">
        <w:trPr>
          <w:gridAfter w:val="2"/>
          <w:wAfter w:w="34" w:type="dxa"/>
          <w:trHeight w:val="142"/>
        </w:trPr>
        <w:tc>
          <w:tcPr>
            <w:tcW w:w="10916" w:type="dxa"/>
            <w:gridSpan w:val="29"/>
            <w:shd w:val="clear" w:color="auto" w:fill="auto"/>
          </w:tcPr>
          <w:p w:rsidR="00F749A5" w:rsidRPr="00F749A5" w:rsidRDefault="00F749A5" w:rsidP="00F749A5">
            <w:pPr>
              <w:spacing w:after="120" w:line="240" w:lineRule="exact"/>
              <w:jc w:val="both"/>
              <w:rPr>
                <w:rFonts w:ascii="Times New Roman" w:eastAsia="Calibri" w:hAnsi="Times New Roman" w:cs="Times New Roman"/>
                <w:sz w:val="21"/>
                <w:szCs w:val="21"/>
              </w:rPr>
            </w:pPr>
            <w:r w:rsidRPr="00F749A5">
              <w:rPr>
                <w:rFonts w:ascii="Times New Roman" w:eastAsia="Calibri" w:hAnsi="Times New Roman" w:cs="Times New Roman"/>
                <w:b/>
                <w:sz w:val="21"/>
                <w:szCs w:val="21"/>
              </w:rPr>
              <w:t>Rekomendowane rozwiązanie</w:t>
            </w:r>
            <w:r w:rsidRPr="00F749A5">
              <w:rPr>
                <w:rFonts w:ascii="Times New Roman" w:eastAsia="Calibri" w:hAnsi="Times New Roman" w:cs="Times New Roman"/>
                <w:sz w:val="21"/>
                <w:szCs w:val="21"/>
              </w:rPr>
              <w:t xml:space="preserve">: systemową odpowiedzą polityki mieszkaniowej na problem opisany w punkcie 1. powinien być </w:t>
            </w:r>
            <w:r w:rsidRPr="001F1AB1">
              <w:rPr>
                <w:rFonts w:ascii="Times New Roman" w:eastAsia="Calibri" w:hAnsi="Times New Roman" w:cs="Times New Roman"/>
                <w:sz w:val="21"/>
                <w:szCs w:val="21"/>
              </w:rPr>
              <w:t>rozwój segmentu dostępnych mieszkań na wynajem</w:t>
            </w:r>
            <w:r w:rsidRPr="003E6D84">
              <w:rPr>
                <w:rFonts w:ascii="Times New Roman" w:eastAsia="Calibri" w:hAnsi="Times New Roman" w:cs="Times New Roman"/>
                <w:sz w:val="21"/>
                <w:szCs w:val="21"/>
              </w:rPr>
              <w:t xml:space="preserve"> o umiarkowanych</w:t>
            </w:r>
            <w:r w:rsidRPr="00F749A5">
              <w:rPr>
                <w:rFonts w:ascii="Times New Roman" w:eastAsia="Calibri" w:hAnsi="Times New Roman" w:cs="Times New Roman"/>
                <w:sz w:val="21"/>
                <w:szCs w:val="21"/>
              </w:rPr>
              <w:t xml:space="preserve"> czynszach. </w:t>
            </w:r>
          </w:p>
          <w:p w:rsidR="00F749A5" w:rsidRPr="00F749A5" w:rsidRDefault="00F749A5" w:rsidP="00F749A5">
            <w:pPr>
              <w:tabs>
                <w:tab w:val="left" w:pos="0"/>
              </w:tabs>
              <w:spacing w:after="120" w:line="240" w:lineRule="exact"/>
              <w:ind w:left="34" w:hanging="34"/>
              <w:jc w:val="both"/>
              <w:rPr>
                <w:rFonts w:ascii="Times New Roman" w:eastAsia="Calibri" w:hAnsi="Times New Roman" w:cs="Times New Roman"/>
                <w:sz w:val="21"/>
                <w:szCs w:val="21"/>
              </w:rPr>
            </w:pPr>
            <w:r w:rsidRPr="00F749A5">
              <w:rPr>
                <w:rFonts w:ascii="Times New Roman" w:eastAsia="Calibri" w:hAnsi="Times New Roman" w:cs="Times New Roman"/>
                <w:b/>
                <w:sz w:val="21"/>
                <w:szCs w:val="21"/>
              </w:rPr>
              <w:t>Narzędzie interwencji</w:t>
            </w:r>
            <w:r w:rsidRPr="00F749A5">
              <w:rPr>
                <w:rFonts w:ascii="Times New Roman" w:eastAsia="Calibri" w:hAnsi="Times New Roman" w:cs="Times New Roman"/>
                <w:sz w:val="21"/>
                <w:szCs w:val="21"/>
              </w:rPr>
              <w:t>: konieczność utrzymania czynszów na poziomie adekwatnym do uwarunkowań dochodowych docelowych najemców społecznego budownictwa czynszowego sprawia, że jednym z warunków rozwoju tego segmentu rynku jest wsparcie władz publicznych. Do 2009 r. w Polsce rolę systemowego instrumentu wsparcia takiego społecznego budownictwa czynszowego pełnił preferencyjny kredyt udzielany przez Bank Gospodarstwa Krajowego ze środków Krajowego Funduszu Mieszkaniowego. W ocenie projektodawcy (</w:t>
            </w:r>
            <w:proofErr w:type="spellStart"/>
            <w:r w:rsidRPr="00F749A5">
              <w:rPr>
                <w:rFonts w:ascii="Times New Roman" w:eastAsia="Calibri" w:hAnsi="Times New Roman" w:cs="Times New Roman"/>
                <w:sz w:val="21"/>
                <w:szCs w:val="21"/>
              </w:rPr>
              <w:t>MIiR</w:t>
            </w:r>
            <w:proofErr w:type="spellEnd"/>
            <w:r w:rsidRPr="00F749A5">
              <w:rPr>
                <w:rFonts w:ascii="Times New Roman" w:eastAsia="Calibri" w:hAnsi="Times New Roman" w:cs="Times New Roman"/>
                <w:sz w:val="21"/>
                <w:szCs w:val="21"/>
              </w:rPr>
              <w:t>), popartej analizami prowadzonym</w:t>
            </w:r>
            <w:r w:rsidR="003E6D84">
              <w:rPr>
                <w:rFonts w:ascii="Times New Roman" w:eastAsia="Calibri" w:hAnsi="Times New Roman" w:cs="Times New Roman"/>
                <w:sz w:val="21"/>
                <w:szCs w:val="21"/>
              </w:rPr>
              <w:t>i</w:t>
            </w:r>
            <w:r w:rsidRPr="00F749A5">
              <w:rPr>
                <w:rFonts w:ascii="Times New Roman" w:eastAsia="Calibri" w:hAnsi="Times New Roman" w:cs="Times New Roman"/>
                <w:sz w:val="21"/>
                <w:szCs w:val="21"/>
              </w:rPr>
              <w:t xml:space="preserve"> we</w:t>
            </w:r>
            <w:r>
              <w:rPr>
                <w:rFonts w:ascii="Times New Roman" w:eastAsia="Calibri" w:hAnsi="Times New Roman" w:cs="Times New Roman"/>
                <w:sz w:val="21"/>
                <w:szCs w:val="21"/>
              </w:rPr>
              <w:t xml:space="preserve"> </w:t>
            </w:r>
            <w:r w:rsidRPr="00F749A5">
              <w:rPr>
                <w:rFonts w:ascii="Times New Roman" w:eastAsia="Calibri" w:hAnsi="Times New Roman" w:cs="Times New Roman"/>
                <w:sz w:val="21"/>
                <w:szCs w:val="21"/>
              </w:rPr>
              <w:t xml:space="preserve">współpracy z BGK, po likwidacji w 2009 r. KFM możliwa jest </w:t>
            </w:r>
            <w:r w:rsidRPr="003E6D84">
              <w:rPr>
                <w:rFonts w:ascii="Times New Roman" w:eastAsia="Calibri" w:hAnsi="Times New Roman" w:cs="Times New Roman"/>
                <w:sz w:val="21"/>
                <w:szCs w:val="21"/>
              </w:rPr>
              <w:t xml:space="preserve">nadal </w:t>
            </w:r>
            <w:r w:rsidRPr="001F1AB1">
              <w:rPr>
                <w:rFonts w:ascii="Times New Roman" w:eastAsia="Calibri" w:hAnsi="Times New Roman" w:cs="Times New Roman"/>
                <w:sz w:val="21"/>
                <w:szCs w:val="21"/>
              </w:rPr>
              <w:t>kontynuacja przez BGK akcji finansowania społecznego budownictwa na wynajem w oparciu o preferencyjny kredyt</w:t>
            </w:r>
            <w:r w:rsidRPr="003E6D84">
              <w:rPr>
                <w:rFonts w:ascii="Times New Roman" w:eastAsia="Calibri" w:hAnsi="Times New Roman" w:cs="Times New Roman"/>
                <w:sz w:val="21"/>
                <w:szCs w:val="21"/>
              </w:rPr>
              <w:t>. Działalność</w:t>
            </w:r>
            <w:r w:rsidRPr="00F749A5">
              <w:rPr>
                <w:rFonts w:ascii="Times New Roman" w:eastAsia="Calibri" w:hAnsi="Times New Roman" w:cs="Times New Roman"/>
                <w:sz w:val="21"/>
                <w:szCs w:val="21"/>
              </w:rPr>
              <w:t xml:space="preserve"> taka wymaga jednak m.in. zmian ustawowych, w szczególności zmian w ustawie o niektórych formach popierania budownictwa mieszkaniowego. Pozwolą one: </w:t>
            </w:r>
          </w:p>
          <w:p w:rsidR="00F749A5" w:rsidRPr="00F749A5" w:rsidRDefault="00F749A5" w:rsidP="00F749A5">
            <w:pPr>
              <w:numPr>
                <w:ilvl w:val="0"/>
                <w:numId w:val="39"/>
              </w:numPr>
              <w:tabs>
                <w:tab w:val="left" w:pos="318"/>
              </w:tabs>
              <w:spacing w:after="120" w:line="240" w:lineRule="exact"/>
              <w:ind w:left="318" w:hanging="318"/>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 xml:space="preserve">adekwatnie uregulować wymagany model interwencji publicznej (po likwidacji KFM forma dopłat do oprocentowania) oraz </w:t>
            </w:r>
          </w:p>
          <w:p w:rsidR="00F749A5" w:rsidRPr="00F749A5" w:rsidRDefault="00F749A5" w:rsidP="00F749A5">
            <w:pPr>
              <w:numPr>
                <w:ilvl w:val="0"/>
                <w:numId w:val="39"/>
              </w:numPr>
              <w:tabs>
                <w:tab w:val="left" w:pos="318"/>
              </w:tabs>
              <w:spacing w:after="120" w:line="240" w:lineRule="exact"/>
              <w:ind w:left="318" w:hanging="318"/>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 xml:space="preserve">dostosować przepisy określające zasady działania </w:t>
            </w:r>
            <w:proofErr w:type="spellStart"/>
            <w:r w:rsidRPr="00F749A5">
              <w:rPr>
                <w:rFonts w:ascii="Times New Roman" w:eastAsia="Calibri" w:hAnsi="Times New Roman" w:cs="Times New Roman"/>
                <w:sz w:val="21"/>
                <w:szCs w:val="21"/>
              </w:rPr>
              <w:t>tbs</w:t>
            </w:r>
            <w:proofErr w:type="spellEnd"/>
            <w:r w:rsidRPr="00F749A5">
              <w:rPr>
                <w:rFonts w:ascii="Times New Roman" w:eastAsia="Calibri" w:hAnsi="Times New Roman" w:cs="Times New Roman"/>
                <w:sz w:val="21"/>
                <w:szCs w:val="21"/>
              </w:rPr>
              <w:t xml:space="preserve"> oraz zasady</w:t>
            </w:r>
            <w:r w:rsidR="003E6D84">
              <w:rPr>
                <w:rFonts w:ascii="Times New Roman" w:eastAsia="Calibri" w:hAnsi="Times New Roman" w:cs="Times New Roman"/>
                <w:sz w:val="21"/>
                <w:szCs w:val="21"/>
              </w:rPr>
              <w:t>,</w:t>
            </w:r>
            <w:r w:rsidRPr="00F749A5">
              <w:rPr>
                <w:rFonts w:ascii="Times New Roman" w:eastAsia="Calibri" w:hAnsi="Times New Roman" w:cs="Times New Roman"/>
                <w:sz w:val="21"/>
                <w:szCs w:val="21"/>
              </w:rPr>
              <w:t xml:space="preserve"> na jakich eksploatowany jest społeczny zasób czynszowy</w:t>
            </w:r>
            <w:r w:rsidR="003E6D84">
              <w:rPr>
                <w:rFonts w:ascii="Times New Roman" w:eastAsia="Calibri" w:hAnsi="Times New Roman" w:cs="Times New Roman"/>
                <w:sz w:val="21"/>
                <w:szCs w:val="21"/>
              </w:rPr>
              <w:t>,</w:t>
            </w:r>
            <w:r w:rsidRPr="00F749A5">
              <w:rPr>
                <w:rFonts w:ascii="Times New Roman" w:eastAsia="Calibri" w:hAnsi="Times New Roman" w:cs="Times New Roman"/>
                <w:sz w:val="21"/>
                <w:szCs w:val="21"/>
              </w:rPr>
              <w:t xml:space="preserve"> do nowego produktu finansowego oraz do aktualnych uwarunkowań rynku mieszkaniowego.</w:t>
            </w:r>
          </w:p>
          <w:p w:rsidR="00F749A5" w:rsidRPr="00F749A5" w:rsidRDefault="00F749A5" w:rsidP="00F749A5">
            <w:pPr>
              <w:spacing w:after="0" w:line="240" w:lineRule="auto"/>
              <w:jc w:val="both"/>
              <w:rPr>
                <w:rFonts w:ascii="Times New Roman" w:eastAsia="Calibri" w:hAnsi="Times New Roman" w:cs="Times New Roman"/>
                <w:color w:val="000000"/>
                <w:spacing w:val="-2"/>
                <w:sz w:val="21"/>
                <w:szCs w:val="21"/>
              </w:rPr>
            </w:pPr>
            <w:r w:rsidRPr="00F749A5">
              <w:rPr>
                <w:rFonts w:ascii="Times New Roman" w:eastAsia="Calibri" w:hAnsi="Times New Roman" w:cs="Times New Roman"/>
                <w:b/>
                <w:sz w:val="21"/>
                <w:szCs w:val="21"/>
              </w:rPr>
              <w:t>Oczekiwany efekt</w:t>
            </w:r>
            <w:r w:rsidRPr="00F749A5">
              <w:rPr>
                <w:rFonts w:ascii="Times New Roman" w:eastAsia="Calibri" w:hAnsi="Times New Roman" w:cs="Times New Roman"/>
                <w:sz w:val="21"/>
                <w:szCs w:val="21"/>
              </w:rPr>
              <w:t xml:space="preserve">: </w:t>
            </w:r>
            <w:r w:rsidRPr="00F749A5">
              <w:rPr>
                <w:rFonts w:ascii="Times New Roman" w:eastAsia="Calibri" w:hAnsi="Times New Roman" w:cs="Times New Roman"/>
                <w:sz w:val="21"/>
                <w:szCs w:val="21"/>
                <w:u w:val="single"/>
              </w:rPr>
              <w:t>uruchomienie preferencyjnej akcji kredytowej BGK w segmencie społecznego budownictwa czynszowego</w:t>
            </w:r>
            <w:r w:rsidRPr="00F749A5">
              <w:rPr>
                <w:rFonts w:ascii="Times New Roman" w:eastAsia="Calibri" w:hAnsi="Times New Roman" w:cs="Times New Roman"/>
                <w:sz w:val="21"/>
                <w:szCs w:val="21"/>
              </w:rPr>
              <w:t>, w okresie 10 lat</w:t>
            </w:r>
            <w:r w:rsidR="003E6D84">
              <w:rPr>
                <w:rFonts w:ascii="Times New Roman" w:eastAsia="Calibri" w:hAnsi="Times New Roman" w:cs="Times New Roman"/>
                <w:sz w:val="21"/>
                <w:szCs w:val="21"/>
              </w:rPr>
              <w:t>,</w:t>
            </w:r>
            <w:r w:rsidRPr="00F749A5">
              <w:rPr>
                <w:rFonts w:ascii="Times New Roman" w:eastAsia="Calibri" w:hAnsi="Times New Roman" w:cs="Times New Roman"/>
                <w:sz w:val="21"/>
                <w:szCs w:val="21"/>
              </w:rPr>
              <w:t xml:space="preserve"> umożliwiającej objęcie finansowaniem co</w:t>
            </w:r>
            <w:r>
              <w:rPr>
                <w:rFonts w:ascii="Times New Roman" w:eastAsia="Calibri" w:hAnsi="Times New Roman" w:cs="Times New Roman"/>
                <w:sz w:val="21"/>
                <w:szCs w:val="21"/>
              </w:rPr>
              <w:t xml:space="preserve"> </w:t>
            </w:r>
            <w:r w:rsidRPr="00F749A5">
              <w:rPr>
                <w:rFonts w:ascii="Times New Roman" w:eastAsia="Calibri" w:hAnsi="Times New Roman" w:cs="Times New Roman"/>
                <w:sz w:val="21"/>
                <w:szCs w:val="21"/>
              </w:rPr>
              <w:t>najmniej 30 tys. nowych mieszkań</w:t>
            </w:r>
            <w:r w:rsidRPr="00F749A5">
              <w:rPr>
                <w:rFonts w:ascii="Times New Roman" w:eastAsia="Calibri" w:hAnsi="Times New Roman" w:cs="Times New Roman"/>
                <w:color w:val="000000"/>
                <w:spacing w:val="-2"/>
                <w:sz w:val="21"/>
                <w:szCs w:val="21"/>
              </w:rPr>
              <w:t>.</w:t>
            </w:r>
          </w:p>
        </w:tc>
      </w:tr>
      <w:tr w:rsidR="00F749A5" w:rsidRPr="00F749A5" w:rsidTr="00F749A5">
        <w:trPr>
          <w:gridAfter w:val="2"/>
          <w:wAfter w:w="34" w:type="dxa"/>
          <w:trHeight w:val="307"/>
        </w:trPr>
        <w:tc>
          <w:tcPr>
            <w:tcW w:w="10916" w:type="dxa"/>
            <w:gridSpan w:val="29"/>
            <w:shd w:val="clear" w:color="auto" w:fill="99CCFF"/>
            <w:vAlign w:val="center"/>
          </w:tcPr>
          <w:p w:rsidR="00F749A5" w:rsidRPr="00F749A5" w:rsidRDefault="00F749A5" w:rsidP="00F749A5">
            <w:pPr>
              <w:numPr>
                <w:ilvl w:val="0"/>
                <w:numId w:val="38"/>
              </w:numPr>
              <w:spacing w:before="60" w:after="60" w:line="240" w:lineRule="auto"/>
              <w:ind w:left="318" w:hanging="284"/>
              <w:jc w:val="both"/>
              <w:rPr>
                <w:rFonts w:ascii="Times New Roman" w:eastAsia="Calibri" w:hAnsi="Times New Roman" w:cs="Times New Roman"/>
                <w:b/>
                <w:color w:val="000000"/>
                <w:sz w:val="21"/>
                <w:szCs w:val="21"/>
              </w:rPr>
            </w:pPr>
            <w:r w:rsidRPr="00F749A5">
              <w:rPr>
                <w:rFonts w:ascii="Times New Roman" w:eastAsia="Calibri" w:hAnsi="Times New Roman" w:cs="Times New Roman"/>
                <w:b/>
                <w:spacing w:val="-2"/>
                <w:sz w:val="21"/>
                <w:szCs w:val="21"/>
              </w:rPr>
              <w:t>Jak problem został rozwiązany w innych krajach, w szczególności krajach członkowskich OECD/UE</w:t>
            </w:r>
            <w:r w:rsidRPr="00F749A5">
              <w:rPr>
                <w:rFonts w:ascii="Times New Roman" w:eastAsia="Calibri" w:hAnsi="Times New Roman" w:cs="Times New Roman"/>
                <w:b/>
                <w:color w:val="000000"/>
                <w:sz w:val="21"/>
                <w:szCs w:val="21"/>
              </w:rPr>
              <w:t>?</w:t>
            </w:r>
            <w:r w:rsidRPr="00F749A5">
              <w:rPr>
                <w:rFonts w:ascii="Times New Roman" w:eastAsia="Calibri" w:hAnsi="Times New Roman" w:cs="Times New Roman"/>
                <w:b/>
                <w:color w:val="000000"/>
                <w:sz w:val="21"/>
                <w:vertAlign w:val="superscript"/>
              </w:rPr>
              <w:footnoteReference w:id="14"/>
            </w:r>
            <w:r w:rsidR="003E6D84">
              <w:rPr>
                <w:rFonts w:ascii="Times New Roman" w:eastAsia="Calibri" w:hAnsi="Times New Roman" w:cs="Times New Roman"/>
                <w:b/>
                <w:color w:val="000000"/>
                <w:sz w:val="21"/>
                <w:szCs w:val="21"/>
                <w:vertAlign w:val="superscript"/>
              </w:rPr>
              <w:t>)</w:t>
            </w:r>
            <w:r w:rsidRPr="00F749A5">
              <w:rPr>
                <w:rFonts w:ascii="Times New Roman" w:eastAsia="Calibri" w:hAnsi="Times New Roman" w:cs="Times New Roman"/>
                <w:i/>
                <w:color w:val="000000"/>
                <w:sz w:val="21"/>
                <w:szCs w:val="21"/>
              </w:rPr>
              <w:t xml:space="preserve"> </w:t>
            </w:r>
          </w:p>
        </w:tc>
      </w:tr>
      <w:tr w:rsidR="00F749A5" w:rsidRPr="00F749A5" w:rsidTr="00F749A5">
        <w:trPr>
          <w:gridAfter w:val="2"/>
          <w:wAfter w:w="34" w:type="dxa"/>
          <w:trHeight w:val="142"/>
        </w:trPr>
        <w:tc>
          <w:tcPr>
            <w:tcW w:w="10916" w:type="dxa"/>
            <w:gridSpan w:val="29"/>
            <w:shd w:val="clear" w:color="auto" w:fill="auto"/>
          </w:tcPr>
          <w:p w:rsidR="00F749A5" w:rsidRPr="00F749A5" w:rsidRDefault="00F749A5" w:rsidP="00F749A5">
            <w:pPr>
              <w:spacing w:after="120" w:line="240" w:lineRule="exact"/>
              <w:jc w:val="both"/>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W większości państw UE mieszkania dostępne cenowo zapewniają systemy społecznego budownictwa czynszowego. Największe zasoby tych mieszkań posiadają rozwinięte rynki w Europie, w takich krajach jak Holandia, Austria, Dania, Szwecja, Wielka Brytania i Francja. Bardzo specyficzny system mieszkań „czasowo społecznych” (przez okres trwania kontaktu) posiadają Niemcy. </w:t>
            </w:r>
          </w:p>
          <w:p w:rsidR="00F749A5" w:rsidRPr="00F749A5" w:rsidRDefault="00F749A5" w:rsidP="00F749A5">
            <w:pPr>
              <w:spacing w:after="120" w:line="240" w:lineRule="exact"/>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 xml:space="preserve">Wspomaganie społecznego budownictwa czynszowego w państwach Europy Zachodniej odbywa się przy użyciu zróżnicowanych instrumentów, od niskooprocentowanych, długoterminowych kredytów, przez rozmaite ulgi podatkowe </w:t>
            </w:r>
            <w:r w:rsidRPr="00F749A5">
              <w:rPr>
                <w:rFonts w:ascii="Times New Roman" w:eastAsia="Calibri" w:hAnsi="Times New Roman" w:cs="Times New Roman"/>
                <w:sz w:val="21"/>
                <w:szCs w:val="21"/>
              </w:rPr>
              <w:br/>
              <w:t xml:space="preserve">i gwarancje, po przekazywane po cenach niższych od rynkowych, czy nawet bezpłatnie, tereny budowlane. W związku </w:t>
            </w:r>
            <w:r w:rsidRPr="00F749A5">
              <w:rPr>
                <w:rFonts w:ascii="Times New Roman" w:eastAsia="Calibri" w:hAnsi="Times New Roman" w:cs="Times New Roman"/>
                <w:sz w:val="21"/>
                <w:szCs w:val="21"/>
              </w:rPr>
              <w:br/>
              <w:t xml:space="preserve">z kryzysem finansowym znacznej redukcji uległy wszelkie bezzwrotne formy wsparcia (subwencje), natomiast więcej jest </w:t>
            </w:r>
            <w:r w:rsidRPr="00F749A5">
              <w:rPr>
                <w:rFonts w:ascii="Times New Roman" w:eastAsia="Calibri" w:hAnsi="Times New Roman" w:cs="Times New Roman"/>
                <w:sz w:val="21"/>
                <w:szCs w:val="21"/>
              </w:rPr>
              <w:lastRenderedPageBreak/>
              <w:t>działań wpływających bezpośrednio lub pośrednio na oprocentowanie kredytów.</w:t>
            </w:r>
          </w:p>
          <w:p w:rsidR="00F749A5" w:rsidRPr="00F749A5" w:rsidRDefault="00F749A5" w:rsidP="00F749A5">
            <w:pPr>
              <w:spacing w:after="120" w:line="240" w:lineRule="exact"/>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 xml:space="preserve">Specyficzne organizacje/fundusze kredytowe udzielające niskooprocentowanych kredytów zachowały się np. we Francji </w:t>
            </w:r>
            <w:r w:rsidRPr="00F749A5">
              <w:rPr>
                <w:rFonts w:ascii="Times New Roman" w:eastAsia="Calibri" w:hAnsi="Times New Roman" w:cs="Times New Roman"/>
                <w:sz w:val="21"/>
                <w:szCs w:val="21"/>
              </w:rPr>
              <w:br/>
              <w:t xml:space="preserve">i w Austrii. Niskooprocentowane kredyty są udzielane również w Danii. W Finlandii zajmująca się udzielaniem niskooprocentowanych kredytów organizacja ARA od 2004 roku wykupuje część odsetek od kredytów zaciąganych na prywatnych rynkach finansowych. Obniżenie kosztu kredytów może być również dokonane przez np. udzielanie różnorodnych gwarancji czy grupowanie się kredytobiorców w większe organizacje mogące korzystniej zaciągać kredyty (w Anglii w imieniu niewielkich stowarzyszeń kredyty zaciąga </w:t>
            </w:r>
            <w:proofErr w:type="spellStart"/>
            <w:r w:rsidRPr="00F749A5">
              <w:rPr>
                <w:rFonts w:ascii="Times New Roman" w:eastAsia="Calibri" w:hAnsi="Times New Roman" w:cs="Times New Roman"/>
                <w:sz w:val="21"/>
                <w:szCs w:val="21"/>
              </w:rPr>
              <w:t>Housing</w:t>
            </w:r>
            <w:proofErr w:type="spellEnd"/>
            <w:r w:rsidRPr="00F749A5">
              <w:rPr>
                <w:rFonts w:ascii="Times New Roman" w:eastAsia="Calibri" w:hAnsi="Times New Roman" w:cs="Times New Roman"/>
                <w:sz w:val="21"/>
                <w:szCs w:val="21"/>
              </w:rPr>
              <w:t xml:space="preserve"> Finance </w:t>
            </w:r>
            <w:proofErr w:type="spellStart"/>
            <w:r w:rsidRPr="00F749A5">
              <w:rPr>
                <w:rFonts w:ascii="Times New Roman" w:eastAsia="Calibri" w:hAnsi="Times New Roman" w:cs="Times New Roman"/>
                <w:sz w:val="21"/>
                <w:szCs w:val="21"/>
              </w:rPr>
              <w:t>Corporation</w:t>
            </w:r>
            <w:proofErr w:type="spellEnd"/>
            <w:r w:rsidRPr="00F749A5">
              <w:rPr>
                <w:rFonts w:ascii="Times New Roman" w:eastAsia="Calibri" w:hAnsi="Times New Roman" w:cs="Times New Roman"/>
                <w:sz w:val="21"/>
                <w:szCs w:val="21"/>
              </w:rPr>
              <w:t>).</w:t>
            </w:r>
          </w:p>
          <w:p w:rsidR="00F749A5" w:rsidRPr="00F749A5" w:rsidRDefault="00F749A5" w:rsidP="00F749A5">
            <w:pPr>
              <w:spacing w:after="120" w:line="240" w:lineRule="exact"/>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 xml:space="preserve">Generalnie mimo kryzysu rola państwa w finansowaniu społecznego budownictwa czynszowego pozostała duża, choć uległa pewnej ewolucji. Coraz częściej finansowanie odbywa się na prywatnym rynku kapitałowym, a kredyty uzyskują niższe od rynkowego oprocentowanie dzięki gwarancjom publicznym – państwowym lub samorządowym. Takie możliwości mają jednak tylko organizacje zajmujące się budownictwem społecznym w krajach o długoletnim i ugruntowanym systemie wsparcia tego typu budownictwa. </w:t>
            </w:r>
          </w:p>
          <w:p w:rsidR="00F749A5" w:rsidRPr="00F749A5" w:rsidRDefault="00F749A5" w:rsidP="00F749A5">
            <w:pPr>
              <w:spacing w:after="120" w:line="240" w:lineRule="exact"/>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Podsumowując, wspomaganie budownictwa społecznego oparte na preferencyjnych długoterminowych kredytach, w tym zwłaszcza dążące do obniżenia oprocentowania kredytu, jest nadal podstawowym instrumentem wspierającym ten segment budownictwa mieszkaniowego. Instrument taki – w różnych formach częściowo wskazanych powyżej – występuje m.in. w takich krajach jak Francja, Wielka Brytania, Dania, Finlandia, Austria, Irlandia i Belgia.</w:t>
            </w:r>
          </w:p>
          <w:p w:rsidR="00F749A5" w:rsidRPr="00F749A5" w:rsidRDefault="00F749A5" w:rsidP="00F749A5">
            <w:pPr>
              <w:spacing w:after="120" w:line="240" w:lineRule="exact"/>
              <w:jc w:val="both"/>
              <w:rPr>
                <w:rFonts w:ascii="Times New Roman" w:eastAsia="Calibri" w:hAnsi="Times New Roman" w:cs="Times New Roman"/>
                <w:color w:val="000000"/>
                <w:sz w:val="21"/>
                <w:szCs w:val="21"/>
              </w:rPr>
            </w:pPr>
            <w:r w:rsidRPr="00F749A5">
              <w:rPr>
                <w:rFonts w:ascii="Times New Roman" w:eastAsia="Calibri" w:hAnsi="Times New Roman" w:cs="Times New Roman"/>
                <w:sz w:val="21"/>
                <w:szCs w:val="21"/>
              </w:rPr>
              <w:t>W krajach o długiej tradycji funkcjonowania budownictwa społecznego, dzięki spłacie wcześniej zaciąganych zobowiązań na budowę, nie bez znaczenia jest też możliwość finansowania części inwestycji na rynku prywatnym oraz z własnych środków organizacji budownictwa społecznego uzyskiwanych np. w formie płaconych przez lokatorów czynszów</w:t>
            </w:r>
            <w:r w:rsidRPr="00F749A5">
              <w:rPr>
                <w:rFonts w:ascii="Times New Roman" w:eastAsia="Calibri" w:hAnsi="Times New Roman" w:cs="Times New Roman"/>
                <w:color w:val="000000"/>
                <w:sz w:val="21"/>
                <w:szCs w:val="21"/>
              </w:rPr>
              <w:t>.</w:t>
            </w:r>
          </w:p>
          <w:p w:rsidR="00F749A5" w:rsidRPr="00F749A5" w:rsidRDefault="00F749A5" w:rsidP="00F749A5">
            <w:pPr>
              <w:spacing w:after="0" w:line="240" w:lineRule="auto"/>
              <w:jc w:val="both"/>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t>Mając na uwadze ograniczone środki dostępne na mieszkalnictwo w ramach budżetu państwa, wybór</w:t>
            </w:r>
            <w:r w:rsidRPr="00F749A5">
              <w:rPr>
                <w:rFonts w:ascii="Times New Roman" w:eastAsia="Calibri" w:hAnsi="Times New Roman" w:cs="Times New Roman"/>
                <w:sz w:val="21"/>
                <w:szCs w:val="21"/>
              </w:rPr>
              <w:t xml:space="preserve"> formy wsparcia w postaci dopłaty do oprocentowania finansowania udzielanego z własnych środków przez Bank Gospodarstwa Krajowego pozwoli osiągnąć większe efekty przy stosunkowo niskiej interwencji ze środków budżetu państwa.</w:t>
            </w:r>
            <w:r>
              <w:rPr>
                <w:rFonts w:ascii="Times New Roman" w:eastAsia="Calibri" w:hAnsi="Times New Roman" w:cs="Times New Roman"/>
                <w:sz w:val="21"/>
                <w:szCs w:val="21"/>
              </w:rPr>
              <w:t xml:space="preserve"> </w:t>
            </w:r>
          </w:p>
        </w:tc>
      </w:tr>
      <w:tr w:rsidR="00F749A5" w:rsidRPr="00F749A5" w:rsidTr="00F749A5">
        <w:trPr>
          <w:gridAfter w:val="2"/>
          <w:wAfter w:w="34" w:type="dxa"/>
          <w:trHeight w:val="359"/>
        </w:trPr>
        <w:tc>
          <w:tcPr>
            <w:tcW w:w="10916" w:type="dxa"/>
            <w:gridSpan w:val="29"/>
            <w:shd w:val="clear" w:color="auto" w:fill="99CCFF"/>
            <w:vAlign w:val="center"/>
          </w:tcPr>
          <w:p w:rsidR="00F749A5" w:rsidRPr="00F749A5" w:rsidRDefault="00F749A5" w:rsidP="00F749A5">
            <w:pPr>
              <w:numPr>
                <w:ilvl w:val="0"/>
                <w:numId w:val="38"/>
              </w:numPr>
              <w:spacing w:before="60" w:after="60" w:line="240" w:lineRule="auto"/>
              <w:ind w:left="318" w:hanging="284"/>
              <w:jc w:val="both"/>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z w:val="21"/>
                <w:szCs w:val="21"/>
              </w:rPr>
              <w:lastRenderedPageBreak/>
              <w:t>Podmioty, na które oddziałuje projekt</w:t>
            </w:r>
          </w:p>
        </w:tc>
      </w:tr>
      <w:tr w:rsidR="00F749A5" w:rsidRPr="00F749A5" w:rsidTr="00F749A5">
        <w:trPr>
          <w:gridAfter w:val="2"/>
          <w:wAfter w:w="34" w:type="dxa"/>
          <w:trHeight w:val="142"/>
        </w:trPr>
        <w:tc>
          <w:tcPr>
            <w:tcW w:w="1834" w:type="dxa"/>
            <w:gridSpan w:val="2"/>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Grupa</w:t>
            </w:r>
          </w:p>
        </w:tc>
        <w:tc>
          <w:tcPr>
            <w:tcW w:w="2835"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Wielkość</w:t>
            </w:r>
          </w:p>
        </w:tc>
        <w:tc>
          <w:tcPr>
            <w:tcW w:w="1701"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Źródło danych</w:t>
            </w:r>
          </w:p>
        </w:tc>
        <w:tc>
          <w:tcPr>
            <w:tcW w:w="4546" w:type="dxa"/>
            <w:gridSpan w:val="13"/>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Oddziaływanie</w:t>
            </w:r>
          </w:p>
        </w:tc>
      </w:tr>
      <w:tr w:rsidR="00F749A5" w:rsidRPr="00F749A5" w:rsidTr="00F749A5">
        <w:trPr>
          <w:gridAfter w:val="2"/>
          <w:wAfter w:w="34" w:type="dxa"/>
          <w:trHeight w:val="142"/>
        </w:trPr>
        <w:tc>
          <w:tcPr>
            <w:tcW w:w="1834" w:type="dxa"/>
            <w:gridSpan w:val="2"/>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z w:val="21"/>
                <w:szCs w:val="21"/>
              </w:rPr>
              <w:t>Bank Gospodarstwa Krajowego</w:t>
            </w:r>
          </w:p>
        </w:tc>
        <w:tc>
          <w:tcPr>
            <w:tcW w:w="2835"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1</w:t>
            </w:r>
          </w:p>
        </w:tc>
        <w:tc>
          <w:tcPr>
            <w:tcW w:w="1701"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Dane </w:t>
            </w:r>
            <w:proofErr w:type="spellStart"/>
            <w:r w:rsidRPr="00F749A5">
              <w:rPr>
                <w:rFonts w:ascii="Times New Roman" w:eastAsia="Calibri" w:hAnsi="Times New Roman" w:cs="Times New Roman"/>
                <w:spacing w:val="-2"/>
                <w:sz w:val="21"/>
                <w:szCs w:val="21"/>
              </w:rPr>
              <w:t>MIiR</w:t>
            </w:r>
            <w:proofErr w:type="spellEnd"/>
          </w:p>
        </w:tc>
        <w:tc>
          <w:tcPr>
            <w:tcW w:w="4546" w:type="dxa"/>
            <w:gridSpan w:val="13"/>
            <w:shd w:val="clear" w:color="auto" w:fill="auto"/>
          </w:tcPr>
          <w:p w:rsidR="00F749A5" w:rsidRPr="00F749A5" w:rsidRDefault="00F749A5" w:rsidP="00F749A5">
            <w:pPr>
              <w:numPr>
                <w:ilvl w:val="0"/>
                <w:numId w:val="40"/>
              </w:numPr>
              <w:spacing w:after="120" w:line="240" w:lineRule="exact"/>
              <w:ind w:left="459" w:hanging="283"/>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Reaktywacja preferencyjnej akcji kredytowania społecznego budownictwa czynszowego (zgodne z</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misją BGK) – możliwość otrzymania kwot niezbędnych do</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pokrycia preferencji w</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oprocentowaniu i kosztów obsługi rządowego programu.</w:t>
            </w:r>
          </w:p>
          <w:p w:rsidR="00F749A5" w:rsidRPr="00F749A5" w:rsidRDefault="00F749A5" w:rsidP="00F749A5">
            <w:pPr>
              <w:numPr>
                <w:ilvl w:val="0"/>
                <w:numId w:val="40"/>
              </w:numPr>
              <w:spacing w:after="120" w:line="240" w:lineRule="exact"/>
              <w:ind w:left="460" w:hanging="284"/>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Poprawa warunków prowadzenia działalności na rynku mieszkaniowym przez dotychczasowych kredytobiorców portfela byłego KFM (towarzystwa budownictwa społecznego i</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spółdzielnie mieszkaniowe).</w:t>
            </w:r>
          </w:p>
        </w:tc>
      </w:tr>
      <w:tr w:rsidR="00F749A5" w:rsidRPr="00F749A5" w:rsidTr="00F749A5">
        <w:trPr>
          <w:gridAfter w:val="2"/>
          <w:wAfter w:w="34" w:type="dxa"/>
          <w:trHeight w:val="142"/>
        </w:trPr>
        <w:tc>
          <w:tcPr>
            <w:tcW w:w="1834" w:type="dxa"/>
            <w:gridSpan w:val="2"/>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z w:val="21"/>
                <w:szCs w:val="21"/>
              </w:rPr>
              <w:t>Gminy</w:t>
            </w:r>
          </w:p>
        </w:tc>
        <w:tc>
          <w:tcPr>
            <w:tcW w:w="2835"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2479</w:t>
            </w:r>
          </w:p>
        </w:tc>
        <w:tc>
          <w:tcPr>
            <w:tcW w:w="1701"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Dane </w:t>
            </w:r>
            <w:proofErr w:type="spellStart"/>
            <w:r w:rsidRPr="00F749A5">
              <w:rPr>
                <w:rFonts w:ascii="Times New Roman" w:eastAsia="Calibri" w:hAnsi="Times New Roman" w:cs="Times New Roman"/>
                <w:spacing w:val="-2"/>
                <w:sz w:val="21"/>
                <w:szCs w:val="21"/>
              </w:rPr>
              <w:t>MAiC</w:t>
            </w:r>
            <w:proofErr w:type="spellEnd"/>
          </w:p>
        </w:tc>
        <w:tc>
          <w:tcPr>
            <w:tcW w:w="4546" w:type="dxa"/>
            <w:gridSpan w:val="13"/>
            <w:shd w:val="clear" w:color="auto" w:fill="auto"/>
          </w:tcPr>
          <w:p w:rsidR="00F749A5" w:rsidRPr="00F749A5" w:rsidRDefault="00F749A5" w:rsidP="00F749A5">
            <w:pPr>
              <w:numPr>
                <w:ilvl w:val="0"/>
                <w:numId w:val="41"/>
              </w:numPr>
              <w:spacing w:after="120" w:line="240" w:lineRule="exact"/>
              <w:ind w:left="459"/>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Nowy instrument realizacji konstytucyjnych zadań JST w</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zakresie mieszkalnictwa (preferencyjne finansowanie budownictwa mieszkań na wynajem jako instrument polityki mieszkaniowej gmin).</w:t>
            </w:r>
          </w:p>
          <w:p w:rsidR="00F749A5" w:rsidRPr="00F749A5" w:rsidRDefault="00F749A5" w:rsidP="00F749A5">
            <w:pPr>
              <w:numPr>
                <w:ilvl w:val="0"/>
                <w:numId w:val="41"/>
              </w:numPr>
              <w:spacing w:after="120" w:line="240" w:lineRule="exact"/>
              <w:ind w:left="459"/>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Rozwój zasobów dostępnych mieszkań czynszowych na terenie gminy poprzez współpracę JST z</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podmiotem zewnętrznym.</w:t>
            </w:r>
          </w:p>
          <w:p w:rsidR="00F749A5" w:rsidRPr="00F749A5" w:rsidRDefault="00F749A5" w:rsidP="00F749A5">
            <w:pPr>
              <w:numPr>
                <w:ilvl w:val="0"/>
                <w:numId w:val="41"/>
              </w:numPr>
              <w:spacing w:after="120" w:line="240" w:lineRule="exact"/>
              <w:ind w:left="453" w:hanging="357"/>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Poprawa warunków prowadzenia działalności na rynku mieszkaniowym przez </w:t>
            </w:r>
            <w:proofErr w:type="spellStart"/>
            <w:r w:rsidRPr="00F749A5">
              <w:rPr>
                <w:rFonts w:ascii="Times New Roman" w:eastAsia="Calibri" w:hAnsi="Times New Roman" w:cs="Times New Roman"/>
                <w:spacing w:val="-2"/>
                <w:sz w:val="21"/>
                <w:szCs w:val="21"/>
              </w:rPr>
              <w:t>tbs</w:t>
            </w:r>
            <w:proofErr w:type="spellEnd"/>
            <w:r w:rsidRPr="00F749A5">
              <w:rPr>
                <w:rFonts w:ascii="Times New Roman" w:eastAsia="Calibri" w:hAnsi="Times New Roman" w:cs="Times New Roman"/>
                <w:spacing w:val="-2"/>
                <w:sz w:val="21"/>
                <w:szCs w:val="21"/>
              </w:rPr>
              <w:t>-y (spółki utworzone najczęściej przez JST, zaangażowane bezpośrednio w</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 xml:space="preserve">realizację lokalnych polityk mieszkaniowych). </w:t>
            </w:r>
          </w:p>
        </w:tc>
      </w:tr>
      <w:tr w:rsidR="00F749A5" w:rsidRPr="00F749A5" w:rsidTr="00F749A5">
        <w:trPr>
          <w:gridAfter w:val="2"/>
          <w:wAfter w:w="34" w:type="dxa"/>
          <w:trHeight w:val="142"/>
        </w:trPr>
        <w:tc>
          <w:tcPr>
            <w:tcW w:w="1834" w:type="dxa"/>
            <w:gridSpan w:val="2"/>
            <w:shd w:val="clear" w:color="auto" w:fill="auto"/>
          </w:tcPr>
          <w:p w:rsidR="00F749A5" w:rsidRPr="00F749A5" w:rsidRDefault="00F749A5" w:rsidP="00F749A5">
            <w:pPr>
              <w:spacing w:after="120" w:line="240" w:lineRule="exact"/>
              <w:rPr>
                <w:rFonts w:ascii="Times New Roman" w:eastAsia="Calibri" w:hAnsi="Times New Roman" w:cs="Times New Roman"/>
                <w:sz w:val="21"/>
                <w:szCs w:val="21"/>
              </w:rPr>
            </w:pPr>
            <w:r w:rsidRPr="00F749A5">
              <w:rPr>
                <w:rFonts w:ascii="Times New Roman" w:eastAsia="Calibri" w:hAnsi="Times New Roman" w:cs="Times New Roman"/>
                <w:sz w:val="21"/>
                <w:szCs w:val="21"/>
              </w:rPr>
              <w:t>Towarzystwa budownictwa społecznego</w:t>
            </w:r>
          </w:p>
        </w:tc>
        <w:tc>
          <w:tcPr>
            <w:tcW w:w="2835"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242</w:t>
            </w:r>
          </w:p>
        </w:tc>
        <w:tc>
          <w:tcPr>
            <w:tcW w:w="1701"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Dane </w:t>
            </w:r>
            <w:proofErr w:type="spellStart"/>
            <w:r w:rsidRPr="00F749A5">
              <w:rPr>
                <w:rFonts w:ascii="Times New Roman" w:eastAsia="Calibri" w:hAnsi="Times New Roman" w:cs="Times New Roman"/>
                <w:spacing w:val="-2"/>
                <w:sz w:val="21"/>
                <w:szCs w:val="21"/>
              </w:rPr>
              <w:t>MIiR</w:t>
            </w:r>
            <w:proofErr w:type="spellEnd"/>
          </w:p>
        </w:tc>
        <w:tc>
          <w:tcPr>
            <w:tcW w:w="4546" w:type="dxa"/>
            <w:gridSpan w:val="13"/>
            <w:shd w:val="clear" w:color="auto" w:fill="auto"/>
          </w:tcPr>
          <w:p w:rsidR="00F749A5" w:rsidRPr="00F749A5" w:rsidRDefault="00F749A5" w:rsidP="00F749A5">
            <w:pPr>
              <w:numPr>
                <w:ilvl w:val="0"/>
                <w:numId w:val="42"/>
              </w:numPr>
              <w:spacing w:after="120" w:line="240" w:lineRule="exact"/>
              <w:ind w:left="459"/>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Kontynuacja podstawowej działalności polegającej na budowie i</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 xml:space="preserve">eksploatacji mieszkań na zasadach najmu w segmencie dostępnych mieszkań czynszowych (preferencyjny instrument wsparcia). </w:t>
            </w:r>
          </w:p>
          <w:p w:rsidR="00F749A5" w:rsidRPr="00F749A5" w:rsidRDefault="00F749A5" w:rsidP="00F749A5">
            <w:pPr>
              <w:numPr>
                <w:ilvl w:val="0"/>
                <w:numId w:val="42"/>
              </w:numPr>
              <w:spacing w:after="120" w:line="240" w:lineRule="exact"/>
              <w:ind w:left="453" w:hanging="357"/>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Lepsze dostosowanie warunków prowadzenia działalności na rynku mieszkaniowym w dotychczas posiadanym zasobie do zmiennych </w:t>
            </w:r>
            <w:r w:rsidRPr="00F749A5">
              <w:rPr>
                <w:rFonts w:ascii="Times New Roman" w:eastAsia="Calibri" w:hAnsi="Times New Roman" w:cs="Times New Roman"/>
                <w:spacing w:val="-2"/>
                <w:sz w:val="21"/>
                <w:szCs w:val="21"/>
              </w:rPr>
              <w:lastRenderedPageBreak/>
              <w:t>uwarunkowań rynku, po likwidacji KFM.</w:t>
            </w:r>
          </w:p>
        </w:tc>
      </w:tr>
      <w:tr w:rsidR="00F749A5" w:rsidRPr="00F749A5" w:rsidTr="00F749A5">
        <w:trPr>
          <w:gridAfter w:val="2"/>
          <w:wAfter w:w="34" w:type="dxa"/>
          <w:trHeight w:val="142"/>
        </w:trPr>
        <w:tc>
          <w:tcPr>
            <w:tcW w:w="1834" w:type="dxa"/>
            <w:gridSpan w:val="2"/>
            <w:shd w:val="clear" w:color="auto" w:fill="auto"/>
          </w:tcPr>
          <w:p w:rsidR="00F749A5" w:rsidRPr="00F749A5" w:rsidRDefault="00F749A5" w:rsidP="00F749A5">
            <w:pPr>
              <w:spacing w:after="120" w:line="240" w:lineRule="exact"/>
              <w:rPr>
                <w:rFonts w:ascii="Times New Roman" w:eastAsia="Calibri" w:hAnsi="Times New Roman" w:cs="Times New Roman"/>
                <w:sz w:val="21"/>
                <w:szCs w:val="21"/>
              </w:rPr>
            </w:pPr>
            <w:r w:rsidRPr="00F749A5">
              <w:rPr>
                <w:rFonts w:ascii="Times New Roman" w:eastAsia="Calibri" w:hAnsi="Times New Roman" w:cs="Times New Roman"/>
                <w:sz w:val="21"/>
                <w:szCs w:val="21"/>
              </w:rPr>
              <w:lastRenderedPageBreak/>
              <w:t>Spółdzielnie Mieszkaniowe</w:t>
            </w:r>
          </w:p>
        </w:tc>
        <w:tc>
          <w:tcPr>
            <w:tcW w:w="2835"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2152 (spółdzielnie mieszkaniowe prowadzące zgodnie z</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systemem REGON działalność w zakresie budownictwa)</w:t>
            </w:r>
          </w:p>
        </w:tc>
        <w:tc>
          <w:tcPr>
            <w:tcW w:w="1701"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Mały rocznik statystyczny 2013 </w:t>
            </w:r>
          </w:p>
        </w:tc>
        <w:tc>
          <w:tcPr>
            <w:tcW w:w="4546" w:type="dxa"/>
            <w:gridSpan w:val="13"/>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Możliwość budowy i eksploatacji mieszkań na zasadach najmu w segmencie dostępnych mieszkań czynszowych. </w:t>
            </w:r>
          </w:p>
        </w:tc>
      </w:tr>
      <w:tr w:rsidR="00F749A5" w:rsidRPr="00F749A5" w:rsidTr="00F749A5">
        <w:trPr>
          <w:gridAfter w:val="2"/>
          <w:wAfter w:w="34" w:type="dxa"/>
          <w:trHeight w:val="142"/>
        </w:trPr>
        <w:tc>
          <w:tcPr>
            <w:tcW w:w="1834" w:type="dxa"/>
            <w:gridSpan w:val="2"/>
            <w:shd w:val="clear" w:color="auto" w:fill="auto"/>
          </w:tcPr>
          <w:p w:rsidR="00F749A5" w:rsidRPr="00F749A5" w:rsidRDefault="00F749A5" w:rsidP="00F749A5">
            <w:pPr>
              <w:spacing w:after="120" w:line="240" w:lineRule="exact"/>
              <w:rPr>
                <w:rFonts w:ascii="Times New Roman" w:eastAsia="Calibri" w:hAnsi="Times New Roman" w:cs="Times New Roman"/>
                <w:sz w:val="21"/>
                <w:szCs w:val="21"/>
              </w:rPr>
            </w:pPr>
            <w:r w:rsidRPr="00F749A5">
              <w:rPr>
                <w:rFonts w:ascii="Times New Roman" w:eastAsia="Calibri" w:hAnsi="Times New Roman" w:cs="Times New Roman"/>
                <w:sz w:val="21"/>
                <w:szCs w:val="21"/>
              </w:rPr>
              <w:t xml:space="preserve">Spółki gminne (inne niż gminne </w:t>
            </w:r>
            <w:proofErr w:type="spellStart"/>
            <w:r w:rsidRPr="00F749A5">
              <w:rPr>
                <w:rFonts w:ascii="Times New Roman" w:eastAsia="Calibri" w:hAnsi="Times New Roman" w:cs="Times New Roman"/>
                <w:sz w:val="21"/>
                <w:szCs w:val="21"/>
              </w:rPr>
              <w:t>tbs</w:t>
            </w:r>
            <w:proofErr w:type="spellEnd"/>
            <w:r w:rsidRPr="00F749A5">
              <w:rPr>
                <w:rFonts w:ascii="Times New Roman" w:eastAsia="Calibri" w:hAnsi="Times New Roman" w:cs="Times New Roman"/>
                <w:sz w:val="21"/>
                <w:szCs w:val="21"/>
              </w:rPr>
              <w:t>)</w:t>
            </w:r>
          </w:p>
        </w:tc>
        <w:tc>
          <w:tcPr>
            <w:tcW w:w="2835"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Brak danych</w:t>
            </w:r>
          </w:p>
        </w:tc>
        <w:tc>
          <w:tcPr>
            <w:tcW w:w="1701"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Brak danych</w:t>
            </w:r>
          </w:p>
        </w:tc>
        <w:tc>
          <w:tcPr>
            <w:tcW w:w="4546" w:type="dxa"/>
            <w:gridSpan w:val="13"/>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Lepsze warunki d</w:t>
            </w:r>
            <w:r w:rsidR="003E6D84">
              <w:rPr>
                <w:rFonts w:ascii="Times New Roman" w:eastAsia="Calibri" w:hAnsi="Times New Roman" w:cs="Times New Roman"/>
                <w:spacing w:val="-2"/>
                <w:sz w:val="21"/>
                <w:szCs w:val="21"/>
              </w:rPr>
              <w:t>o</w:t>
            </w:r>
            <w:r w:rsidRPr="00F749A5">
              <w:rPr>
                <w:rFonts w:ascii="Times New Roman" w:eastAsia="Calibri" w:hAnsi="Times New Roman" w:cs="Times New Roman"/>
                <w:spacing w:val="-2"/>
                <w:sz w:val="21"/>
                <w:szCs w:val="21"/>
              </w:rPr>
              <w:t xml:space="preserve"> budowy i eksploatacji mieszkań na zasadach najmu w segmencie dostępnych mieszkań czynszowych (preferencyjny instrument wsparcia; spółka gminna jako jedna z form prowadzenia przez JST lokalnej polityki mieszkaniowej).</w:t>
            </w:r>
          </w:p>
        </w:tc>
      </w:tr>
      <w:tr w:rsidR="00F749A5" w:rsidRPr="00F749A5" w:rsidTr="00F749A5">
        <w:trPr>
          <w:gridAfter w:val="2"/>
          <w:wAfter w:w="34" w:type="dxa"/>
          <w:trHeight w:val="142"/>
        </w:trPr>
        <w:tc>
          <w:tcPr>
            <w:tcW w:w="1834" w:type="dxa"/>
            <w:gridSpan w:val="2"/>
            <w:shd w:val="clear" w:color="auto" w:fill="auto"/>
          </w:tcPr>
          <w:p w:rsidR="00F749A5" w:rsidRPr="00F749A5" w:rsidRDefault="00F749A5" w:rsidP="00F749A5">
            <w:pPr>
              <w:spacing w:after="120" w:line="240" w:lineRule="exact"/>
              <w:rPr>
                <w:rFonts w:ascii="Times New Roman" w:eastAsia="Calibri" w:hAnsi="Times New Roman" w:cs="Times New Roman"/>
                <w:sz w:val="21"/>
                <w:szCs w:val="21"/>
              </w:rPr>
            </w:pPr>
            <w:r w:rsidRPr="00F749A5">
              <w:rPr>
                <w:rFonts w:ascii="Times New Roman" w:eastAsia="Calibri" w:hAnsi="Times New Roman" w:cs="Times New Roman"/>
                <w:sz w:val="21"/>
                <w:szCs w:val="21"/>
              </w:rPr>
              <w:t>Gospodarstwa domowe - przyszli lokatorzy mieszkań społecznych czynszowych</w:t>
            </w:r>
          </w:p>
        </w:tc>
        <w:tc>
          <w:tcPr>
            <w:tcW w:w="2835" w:type="dxa"/>
            <w:gridSpan w:val="7"/>
            <w:shd w:val="clear" w:color="auto" w:fill="auto"/>
          </w:tcPr>
          <w:p w:rsidR="00F749A5" w:rsidRPr="00F749A5" w:rsidRDefault="00F749A5" w:rsidP="003E6D84">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z w:val="21"/>
                <w:szCs w:val="21"/>
              </w:rPr>
              <w:t>co najmniej 30</w:t>
            </w:r>
            <w:r w:rsidR="003E6D84">
              <w:rPr>
                <w:rFonts w:ascii="Times New Roman" w:eastAsia="Calibri" w:hAnsi="Times New Roman" w:cs="Times New Roman"/>
                <w:sz w:val="21"/>
                <w:szCs w:val="21"/>
              </w:rPr>
              <w:t xml:space="preserve"> </w:t>
            </w:r>
            <w:r w:rsidRPr="00F749A5">
              <w:rPr>
                <w:rFonts w:ascii="Times New Roman" w:eastAsia="Calibri" w:hAnsi="Times New Roman" w:cs="Times New Roman"/>
                <w:sz w:val="21"/>
                <w:szCs w:val="21"/>
              </w:rPr>
              <w:t xml:space="preserve">000 </w:t>
            </w:r>
            <w:r w:rsidRPr="00F749A5">
              <w:rPr>
                <w:rFonts w:ascii="Times New Roman" w:eastAsia="Calibri" w:hAnsi="Times New Roman" w:cs="Times New Roman"/>
                <w:sz w:val="21"/>
                <w:vertAlign w:val="superscript"/>
              </w:rPr>
              <w:footnoteReference w:id="15"/>
            </w:r>
            <w:r w:rsidR="003E6D84">
              <w:rPr>
                <w:rFonts w:ascii="Times New Roman" w:eastAsia="Calibri" w:hAnsi="Times New Roman" w:cs="Times New Roman"/>
                <w:sz w:val="21"/>
                <w:szCs w:val="21"/>
                <w:vertAlign w:val="superscript"/>
              </w:rPr>
              <w:t>)</w:t>
            </w:r>
            <w:r w:rsidRPr="00F749A5">
              <w:rPr>
                <w:rFonts w:ascii="Times New Roman" w:eastAsia="Calibri" w:hAnsi="Times New Roman" w:cs="Times New Roman"/>
                <w:sz w:val="21"/>
                <w:szCs w:val="21"/>
              </w:rPr>
              <w:t xml:space="preserve"> </w:t>
            </w:r>
          </w:p>
        </w:tc>
        <w:tc>
          <w:tcPr>
            <w:tcW w:w="1701" w:type="dxa"/>
            <w:gridSpan w:val="7"/>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Szacunki </w:t>
            </w:r>
            <w:proofErr w:type="spellStart"/>
            <w:r w:rsidRPr="00F749A5">
              <w:rPr>
                <w:rFonts w:ascii="Times New Roman" w:eastAsia="Calibri" w:hAnsi="Times New Roman" w:cs="Times New Roman"/>
                <w:spacing w:val="-2"/>
                <w:sz w:val="21"/>
                <w:szCs w:val="21"/>
              </w:rPr>
              <w:t>MIiR</w:t>
            </w:r>
            <w:proofErr w:type="spellEnd"/>
            <w:r w:rsidRPr="00F749A5">
              <w:rPr>
                <w:rFonts w:ascii="Times New Roman" w:eastAsia="Calibri" w:hAnsi="Times New Roman" w:cs="Times New Roman"/>
                <w:spacing w:val="-2"/>
                <w:sz w:val="21"/>
                <w:szCs w:val="21"/>
              </w:rPr>
              <w:t xml:space="preserve"> i</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BGK</w:t>
            </w:r>
          </w:p>
        </w:tc>
        <w:tc>
          <w:tcPr>
            <w:tcW w:w="4546" w:type="dxa"/>
            <w:gridSpan w:val="13"/>
            <w:shd w:val="clear" w:color="auto" w:fill="auto"/>
          </w:tcPr>
          <w:p w:rsidR="00F749A5" w:rsidRPr="00F749A5" w:rsidRDefault="00F749A5" w:rsidP="00F749A5">
            <w:pPr>
              <w:spacing w:after="120" w:line="240" w:lineRule="exact"/>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Poprawa dostępności cenowej mieszkań i możliwość zaspokojenia potrzeb mieszkaniowych przez gospodarstwa domowe, w przypadku których</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dochody nie przekraczają limitów ustawowych (efekt zwiększenia liczby mieszkań czynszowych wynajmowanych na warunkach preferencyjnego czynszu na rynkach lokalnych).</w:t>
            </w:r>
          </w:p>
        </w:tc>
      </w:tr>
      <w:tr w:rsidR="00F749A5" w:rsidRPr="00F749A5" w:rsidTr="00F749A5">
        <w:trPr>
          <w:gridAfter w:val="2"/>
          <w:wAfter w:w="34" w:type="dxa"/>
          <w:trHeight w:val="302"/>
        </w:trPr>
        <w:tc>
          <w:tcPr>
            <w:tcW w:w="10916" w:type="dxa"/>
            <w:gridSpan w:val="29"/>
            <w:shd w:val="clear" w:color="auto" w:fill="99CCFF"/>
            <w:vAlign w:val="center"/>
          </w:tcPr>
          <w:p w:rsidR="00F749A5" w:rsidRPr="00F749A5" w:rsidRDefault="00F749A5" w:rsidP="00F749A5">
            <w:pPr>
              <w:numPr>
                <w:ilvl w:val="0"/>
                <w:numId w:val="38"/>
              </w:numPr>
              <w:spacing w:before="60" w:after="60" w:line="240" w:lineRule="auto"/>
              <w:ind w:left="318" w:hanging="284"/>
              <w:jc w:val="both"/>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z w:val="21"/>
                <w:szCs w:val="21"/>
              </w:rPr>
              <w:t>Informacje na temat zakresu, czasu trwania i podsumowanie wyników konsultacji</w:t>
            </w:r>
          </w:p>
        </w:tc>
      </w:tr>
      <w:tr w:rsidR="00F749A5" w:rsidRPr="00F749A5" w:rsidTr="00F749A5">
        <w:trPr>
          <w:gridAfter w:val="2"/>
          <w:wAfter w:w="34" w:type="dxa"/>
          <w:trHeight w:val="342"/>
        </w:trPr>
        <w:tc>
          <w:tcPr>
            <w:tcW w:w="10916" w:type="dxa"/>
            <w:gridSpan w:val="29"/>
            <w:shd w:val="clear" w:color="auto" w:fill="FFFFFF"/>
          </w:tcPr>
          <w:p w:rsidR="00F749A5" w:rsidRPr="00F749A5" w:rsidRDefault="00F749A5" w:rsidP="00F749A5">
            <w:pPr>
              <w:spacing w:after="0" w:line="240" w:lineRule="auto"/>
              <w:jc w:val="both"/>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pacing w:val="-2"/>
                <w:sz w:val="21"/>
                <w:szCs w:val="21"/>
              </w:rPr>
              <w:t>Przygotowanie projektu poprzedził okres konsultacji wstępnych założeń nowego programu wsparcia społecznego budownictwa czynszowego, w tym konsultacji propozycji zmian w ustawie towarzyszących wdrożeniu projektowanego instrumentu finansowania. Wnioski z przeprowadzonych konsultacji wstępnych wpłynęły na przygotowanie niniejszej propozycji zmian ustawowych.</w:t>
            </w:r>
            <w:r>
              <w:rPr>
                <w:rFonts w:ascii="Times New Roman" w:eastAsia="Calibri" w:hAnsi="Times New Roman" w:cs="Times New Roman"/>
                <w:color w:val="000000"/>
                <w:spacing w:val="-2"/>
                <w:sz w:val="21"/>
                <w:szCs w:val="21"/>
              </w:rPr>
              <w:t xml:space="preserve"> </w:t>
            </w:r>
            <w:r w:rsidRPr="00F749A5">
              <w:rPr>
                <w:rFonts w:ascii="Times New Roman" w:eastAsia="Calibri" w:hAnsi="Times New Roman" w:cs="Times New Roman"/>
                <w:color w:val="000000"/>
                <w:spacing w:val="-2"/>
                <w:sz w:val="21"/>
                <w:szCs w:val="21"/>
              </w:rPr>
              <w:t xml:space="preserve">Założenia koncepcji programu wsparcia, przygotowane we współpracy z Bankiem Gospodarstwa Krajowego, były przedmiotem dyskusji na roboczych spotkaniach konsultacyjnych zorganizowanych w </w:t>
            </w:r>
            <w:proofErr w:type="spellStart"/>
            <w:r w:rsidRPr="00F749A5">
              <w:rPr>
                <w:rFonts w:ascii="Times New Roman" w:eastAsia="Calibri" w:hAnsi="Times New Roman" w:cs="Times New Roman"/>
                <w:color w:val="000000"/>
                <w:spacing w:val="-2"/>
                <w:sz w:val="21"/>
                <w:szCs w:val="21"/>
              </w:rPr>
              <w:t>MIiR</w:t>
            </w:r>
            <w:proofErr w:type="spellEnd"/>
            <w:r w:rsidRPr="00F749A5">
              <w:rPr>
                <w:rFonts w:ascii="Times New Roman" w:eastAsia="Calibri" w:hAnsi="Times New Roman" w:cs="Times New Roman"/>
                <w:color w:val="000000"/>
                <w:spacing w:val="-2"/>
                <w:sz w:val="21"/>
                <w:szCs w:val="21"/>
              </w:rPr>
              <w:t>, w których wzięli udział przedstawiciele środowisk zrzeszających dotychczasowych inwestorów społecznego budownictwa czynszowego oraz BGK (konferencje konsultacyjne w dn</w:t>
            </w:r>
            <w:r w:rsidR="003E6D84">
              <w:rPr>
                <w:rFonts w:ascii="Times New Roman" w:eastAsia="Calibri" w:hAnsi="Times New Roman" w:cs="Times New Roman"/>
                <w:color w:val="000000"/>
                <w:spacing w:val="-2"/>
                <w:sz w:val="21"/>
                <w:szCs w:val="21"/>
              </w:rPr>
              <w:t>ia</w:t>
            </w:r>
            <w:r w:rsidRPr="00F749A5">
              <w:rPr>
                <w:rFonts w:ascii="Times New Roman" w:eastAsia="Calibri" w:hAnsi="Times New Roman" w:cs="Times New Roman"/>
                <w:color w:val="000000"/>
                <w:spacing w:val="-2"/>
                <w:sz w:val="21"/>
                <w:szCs w:val="21"/>
              </w:rPr>
              <w:t xml:space="preserve"> 8 sierpnia oraz 22 września 2014 r. Również w ramach wstępnych konsultacji w dniu 27</w:t>
            </w:r>
            <w:r w:rsidR="002247E9">
              <w:rPr>
                <w:rFonts w:ascii="Times New Roman" w:eastAsia="Calibri" w:hAnsi="Times New Roman" w:cs="Times New Roman"/>
                <w:color w:val="000000"/>
                <w:spacing w:val="-2"/>
                <w:sz w:val="21"/>
                <w:szCs w:val="21"/>
              </w:rPr>
              <w:t> </w:t>
            </w:r>
            <w:r w:rsidRPr="00F749A5">
              <w:rPr>
                <w:rFonts w:ascii="Times New Roman" w:eastAsia="Calibri" w:hAnsi="Times New Roman" w:cs="Times New Roman"/>
                <w:color w:val="000000"/>
                <w:spacing w:val="-2"/>
                <w:sz w:val="21"/>
                <w:szCs w:val="21"/>
              </w:rPr>
              <w:t xml:space="preserve">października 2014 r. w siedzibie Banku Gospodarstwa </w:t>
            </w:r>
            <w:r w:rsidR="003E6D84">
              <w:rPr>
                <w:rFonts w:ascii="Times New Roman" w:eastAsia="Calibri" w:hAnsi="Times New Roman" w:cs="Times New Roman"/>
                <w:color w:val="000000"/>
                <w:spacing w:val="-2"/>
                <w:sz w:val="21"/>
                <w:szCs w:val="21"/>
              </w:rPr>
              <w:t>Krajowego</w:t>
            </w:r>
            <w:r w:rsidR="003E6D84" w:rsidRPr="00F749A5">
              <w:rPr>
                <w:rFonts w:ascii="Times New Roman" w:eastAsia="Calibri" w:hAnsi="Times New Roman" w:cs="Times New Roman"/>
                <w:color w:val="000000"/>
                <w:spacing w:val="-2"/>
                <w:sz w:val="21"/>
                <w:szCs w:val="21"/>
              </w:rPr>
              <w:t xml:space="preserve"> </w:t>
            </w:r>
            <w:r w:rsidRPr="00F749A5">
              <w:rPr>
                <w:rFonts w:ascii="Times New Roman" w:eastAsia="Calibri" w:hAnsi="Times New Roman" w:cs="Times New Roman"/>
                <w:color w:val="000000"/>
                <w:spacing w:val="-2"/>
                <w:sz w:val="21"/>
                <w:szCs w:val="21"/>
              </w:rPr>
              <w:t xml:space="preserve">odbyło się spotkanie przedstawicieli BGK, </w:t>
            </w:r>
            <w:proofErr w:type="spellStart"/>
            <w:r w:rsidRPr="00F749A5">
              <w:rPr>
                <w:rFonts w:ascii="Times New Roman" w:eastAsia="Calibri" w:hAnsi="Times New Roman" w:cs="Times New Roman"/>
                <w:color w:val="000000"/>
                <w:spacing w:val="-2"/>
                <w:sz w:val="21"/>
                <w:szCs w:val="21"/>
              </w:rPr>
              <w:t>MIiR</w:t>
            </w:r>
            <w:proofErr w:type="spellEnd"/>
            <w:r w:rsidRPr="00F749A5">
              <w:rPr>
                <w:rFonts w:ascii="Times New Roman" w:eastAsia="Calibri" w:hAnsi="Times New Roman" w:cs="Times New Roman"/>
                <w:color w:val="000000"/>
                <w:spacing w:val="-2"/>
                <w:sz w:val="21"/>
                <w:szCs w:val="21"/>
              </w:rPr>
              <w:t xml:space="preserve">, samorządu terytorialnego oraz środowisk eksperckich, poświęcone omówieniu kwestii związanych z uruchomieniem nowego programu społecznego budownictwa czynszowego. </w:t>
            </w:r>
          </w:p>
          <w:p w:rsidR="00F749A5" w:rsidRPr="00F749A5" w:rsidRDefault="00F749A5" w:rsidP="00F749A5">
            <w:pPr>
              <w:autoSpaceDE w:val="0"/>
              <w:autoSpaceDN w:val="0"/>
              <w:adjustRightInd w:val="0"/>
              <w:spacing w:after="0" w:line="240" w:lineRule="auto"/>
              <w:jc w:val="both"/>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pacing w:val="-2"/>
                <w:sz w:val="21"/>
                <w:szCs w:val="21"/>
              </w:rPr>
              <w:t>Do formalnych uzgodnień</w:t>
            </w:r>
            <w:r>
              <w:rPr>
                <w:rFonts w:ascii="Times New Roman" w:eastAsia="Calibri" w:hAnsi="Times New Roman" w:cs="Times New Roman"/>
                <w:color w:val="000000"/>
                <w:spacing w:val="-2"/>
                <w:sz w:val="21"/>
                <w:szCs w:val="21"/>
              </w:rPr>
              <w:t xml:space="preserve"> </w:t>
            </w:r>
            <w:r w:rsidRPr="00F749A5">
              <w:rPr>
                <w:rFonts w:ascii="Times New Roman" w:eastAsia="Calibri" w:hAnsi="Times New Roman" w:cs="Times New Roman"/>
                <w:color w:val="000000"/>
                <w:spacing w:val="-2"/>
                <w:sz w:val="21"/>
                <w:szCs w:val="21"/>
              </w:rPr>
              <w:t>międzyresortowych oraz konsultacji społecznych projekt ustawy został przekazany w</w:t>
            </w:r>
            <w:r>
              <w:rPr>
                <w:rFonts w:ascii="Times New Roman" w:eastAsia="Calibri" w:hAnsi="Times New Roman" w:cs="Times New Roman"/>
                <w:color w:val="000000"/>
                <w:spacing w:val="-2"/>
                <w:sz w:val="21"/>
                <w:szCs w:val="21"/>
              </w:rPr>
              <w:t xml:space="preserve"> </w:t>
            </w:r>
            <w:r w:rsidRPr="00F749A5">
              <w:rPr>
                <w:rFonts w:ascii="Times New Roman" w:eastAsia="Calibri" w:hAnsi="Times New Roman" w:cs="Times New Roman"/>
                <w:color w:val="000000"/>
                <w:spacing w:val="-2"/>
                <w:sz w:val="21"/>
                <w:szCs w:val="21"/>
              </w:rPr>
              <w:t>dniu 8 grudnia</w:t>
            </w:r>
            <w:r>
              <w:rPr>
                <w:rFonts w:ascii="Times New Roman" w:eastAsia="Calibri" w:hAnsi="Times New Roman" w:cs="Times New Roman"/>
                <w:color w:val="000000"/>
                <w:spacing w:val="-2"/>
                <w:sz w:val="21"/>
                <w:szCs w:val="21"/>
              </w:rPr>
              <w:t xml:space="preserve"> </w:t>
            </w:r>
            <w:r w:rsidRPr="00F749A5">
              <w:rPr>
                <w:rFonts w:ascii="Times New Roman" w:eastAsia="Calibri" w:hAnsi="Times New Roman" w:cs="Times New Roman"/>
                <w:color w:val="000000"/>
                <w:spacing w:val="-2"/>
                <w:sz w:val="21"/>
                <w:szCs w:val="21"/>
              </w:rPr>
              <w:t xml:space="preserve">2014 r. W ramach konsultacji społecznych projekt ustawy został skierowany do Banku Gospodarstwa Krajowego, związków zrzeszających jednostki samorządu terytorialnego (ZMP, UMP), organizacji reprezentujących sektor budowlany, w szczególności inwestorów społecznego budownictwa czynszowego, organizacji społecznych zajmujących się mieszkalnictwem, oraz związków zawodowych. W ramach konsultacji zostały dodatkowo zorganizowane dwa spotkania: w dniu 17 grudnia 2014 r. z reprezentantami środowiska towarzystwa budownictwa społecznego oraz w dniu 15 stycznia 2015 r. z przedstawicielami samorządów terytorialnych. </w:t>
            </w:r>
          </w:p>
          <w:p w:rsidR="00F749A5" w:rsidRPr="00F749A5" w:rsidRDefault="00F749A5" w:rsidP="00F749A5">
            <w:pPr>
              <w:autoSpaceDE w:val="0"/>
              <w:autoSpaceDN w:val="0"/>
              <w:adjustRightInd w:val="0"/>
              <w:spacing w:after="0" w:line="240" w:lineRule="auto"/>
              <w:jc w:val="both"/>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pacing w:val="-2"/>
                <w:sz w:val="21"/>
                <w:szCs w:val="21"/>
              </w:rPr>
              <w:t>Projekt ustawy uwzględnia szereg propozycji zgłoszonych w ramach konsultacji społecznych, m.in. w zakresie wysokości partycypacji w kosztach budowy lokalu mieszkalnego, sposobu waloryzacji zwracanej kwoty partycypacji w przypadku rezygnacji z najmu w zasobach towarzystwa budownictwa społecznego, przedmiotu działalności towarzystw budownictwa społecznego czy też wysokości czynszów w zasobach realizowanych w ramach nowego programu.</w:t>
            </w:r>
          </w:p>
          <w:p w:rsidR="00F749A5" w:rsidRPr="00F749A5" w:rsidRDefault="00F749A5" w:rsidP="00F749A5">
            <w:pPr>
              <w:autoSpaceDE w:val="0"/>
              <w:autoSpaceDN w:val="0"/>
              <w:adjustRightInd w:val="0"/>
              <w:spacing w:after="0" w:line="240" w:lineRule="auto"/>
              <w:jc w:val="both"/>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pacing w:val="-2"/>
                <w:sz w:val="21"/>
                <w:szCs w:val="21"/>
              </w:rPr>
              <w:t xml:space="preserve">W dniu 28 stycznia 2015 r. projekt ustawy został pozytywnie zaopiniowany przez Komisję Wspólną Rządu i Samorządu Terytorialnego. </w:t>
            </w:r>
          </w:p>
        </w:tc>
      </w:tr>
      <w:tr w:rsidR="00F749A5" w:rsidRPr="00F749A5" w:rsidTr="00F749A5">
        <w:trPr>
          <w:gridAfter w:val="1"/>
          <w:wAfter w:w="20" w:type="dxa"/>
          <w:trHeight w:val="363"/>
        </w:trPr>
        <w:tc>
          <w:tcPr>
            <w:tcW w:w="10930" w:type="dxa"/>
            <w:gridSpan w:val="30"/>
            <w:tcBorders>
              <w:top w:val="single" w:sz="4" w:space="0" w:color="auto"/>
              <w:left w:val="single" w:sz="4" w:space="0" w:color="auto"/>
              <w:bottom w:val="single" w:sz="4" w:space="0" w:color="auto"/>
              <w:right w:val="single" w:sz="4" w:space="0" w:color="auto"/>
            </w:tcBorders>
            <w:shd w:val="clear" w:color="auto" w:fill="99CCFF"/>
            <w:vAlign w:val="center"/>
            <w:hideMark/>
          </w:tcPr>
          <w:p w:rsidR="00F749A5" w:rsidRPr="00F749A5" w:rsidRDefault="00F749A5" w:rsidP="00F749A5">
            <w:pPr>
              <w:numPr>
                <w:ilvl w:val="0"/>
                <w:numId w:val="38"/>
              </w:numPr>
              <w:spacing w:before="60" w:after="60" w:line="240" w:lineRule="auto"/>
              <w:jc w:val="both"/>
              <w:rPr>
                <w:rFonts w:ascii="Times New Roman" w:eastAsia="Calibri" w:hAnsi="Times New Roman" w:cs="Times New Roman"/>
                <w:b/>
                <w:color w:val="000000"/>
              </w:rPr>
            </w:pPr>
            <w:r w:rsidRPr="00F749A5">
              <w:rPr>
                <w:rFonts w:ascii="Times New Roman" w:eastAsia="Calibri" w:hAnsi="Times New Roman" w:cs="Times New Roman"/>
                <w:b/>
                <w:color w:val="000000"/>
              </w:rPr>
              <w:t xml:space="preserve"> Wpływ na sektor finansów publicznych</w:t>
            </w:r>
          </w:p>
        </w:tc>
      </w:tr>
      <w:tr w:rsidR="00F749A5" w:rsidRPr="00F749A5" w:rsidTr="00F749A5">
        <w:trPr>
          <w:gridAfter w:val="1"/>
          <w:wAfter w:w="20" w:type="dxa"/>
          <w:trHeight w:val="142"/>
        </w:trPr>
        <w:tc>
          <w:tcPr>
            <w:tcW w:w="3124"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before="40" w:after="40"/>
              <w:rPr>
                <w:rFonts w:ascii="Times New Roman" w:eastAsia="Calibri" w:hAnsi="Times New Roman" w:cs="Times New Roman"/>
                <w:i/>
                <w:color w:val="000000"/>
                <w:sz w:val="21"/>
                <w:szCs w:val="21"/>
              </w:rPr>
            </w:pPr>
            <w:r w:rsidRPr="00F749A5">
              <w:rPr>
                <w:rFonts w:ascii="Times New Roman" w:eastAsia="Calibri" w:hAnsi="Times New Roman" w:cs="Times New Roman"/>
                <w:color w:val="000000"/>
                <w:sz w:val="21"/>
                <w:szCs w:val="21"/>
              </w:rPr>
              <w:t>(ceny stałe z 2014 r.)</w:t>
            </w:r>
          </w:p>
        </w:tc>
        <w:tc>
          <w:tcPr>
            <w:tcW w:w="7806" w:type="dxa"/>
            <w:gridSpan w:val="26"/>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before="40" w:after="40" w:line="240" w:lineRule="auto"/>
              <w:jc w:val="center"/>
              <w:rPr>
                <w:rFonts w:ascii="Times New Roman" w:eastAsia="Calibri" w:hAnsi="Times New Roman" w:cs="Times New Roman"/>
                <w:i/>
                <w:color w:val="000000"/>
                <w:spacing w:val="-2"/>
                <w:sz w:val="21"/>
                <w:szCs w:val="21"/>
              </w:rPr>
            </w:pPr>
            <w:r w:rsidRPr="00F749A5">
              <w:rPr>
                <w:rFonts w:ascii="Times New Roman" w:eastAsia="Calibri" w:hAnsi="Times New Roman" w:cs="Times New Roman"/>
                <w:color w:val="000000"/>
                <w:sz w:val="21"/>
                <w:szCs w:val="21"/>
              </w:rPr>
              <w:t>Skutki w okresie 10 lat od wejścia w życie zmian [mln zł]</w:t>
            </w:r>
          </w:p>
        </w:tc>
      </w:tr>
      <w:tr w:rsidR="00F749A5" w:rsidRPr="00F749A5" w:rsidTr="00F749A5">
        <w:trPr>
          <w:gridAfter w:val="1"/>
          <w:wAfter w:w="20" w:type="dxa"/>
          <w:trHeight w:val="142"/>
        </w:trPr>
        <w:tc>
          <w:tcPr>
            <w:tcW w:w="3124" w:type="dxa"/>
            <w:gridSpan w:val="4"/>
            <w:vMerge/>
            <w:tcBorders>
              <w:top w:val="single" w:sz="4" w:space="0" w:color="auto"/>
              <w:left w:val="single" w:sz="4" w:space="0" w:color="auto"/>
              <w:bottom w:val="single" w:sz="4" w:space="0" w:color="auto"/>
              <w:right w:val="single" w:sz="4" w:space="0" w:color="auto"/>
            </w:tcBorders>
            <w:vAlign w:val="center"/>
            <w:hideMark/>
          </w:tcPr>
          <w:p w:rsidR="00F749A5" w:rsidRPr="00F749A5" w:rsidRDefault="00F749A5" w:rsidP="00F749A5">
            <w:pPr>
              <w:spacing w:after="0" w:line="240" w:lineRule="auto"/>
              <w:rPr>
                <w:rFonts w:ascii="Times New Roman" w:eastAsia="Calibri" w:hAnsi="Times New Roman" w:cs="Times New Roman"/>
                <w:i/>
                <w:color w:val="000000"/>
                <w:sz w:val="21"/>
                <w:szCs w:val="21"/>
              </w:rPr>
            </w:pPr>
          </w:p>
        </w:tc>
        <w:tc>
          <w:tcPr>
            <w:tcW w:w="409" w:type="dxa"/>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0</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1</w:t>
            </w: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2</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4</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8</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10</w:t>
            </w:r>
          </w:p>
        </w:tc>
        <w:tc>
          <w:tcPr>
            <w:tcW w:w="8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749A5" w:rsidRPr="00F749A5" w:rsidRDefault="00F749A5" w:rsidP="00F749A5">
            <w:pPr>
              <w:spacing w:before="40" w:after="40" w:line="240" w:lineRule="auto"/>
              <w:jc w:val="center"/>
              <w:rPr>
                <w:rFonts w:ascii="Times New Roman" w:eastAsia="Calibri" w:hAnsi="Times New Roman" w:cs="Times New Roman"/>
                <w:i/>
                <w:color w:val="000000"/>
                <w:spacing w:val="-2"/>
                <w:sz w:val="21"/>
                <w:szCs w:val="21"/>
              </w:rPr>
            </w:pPr>
            <w:r w:rsidRPr="00F749A5">
              <w:rPr>
                <w:rFonts w:ascii="Times New Roman" w:eastAsia="Calibri" w:hAnsi="Times New Roman" w:cs="Times New Roman"/>
                <w:i/>
                <w:color w:val="000000"/>
                <w:spacing w:val="-2"/>
                <w:sz w:val="21"/>
                <w:szCs w:val="21"/>
              </w:rPr>
              <w:t>Łącznie (0-10)</w:t>
            </w:r>
          </w:p>
        </w:tc>
      </w:tr>
      <w:tr w:rsidR="00F749A5" w:rsidRPr="00F749A5" w:rsidTr="00F749A5">
        <w:trPr>
          <w:trHeight w:val="321"/>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b/>
                <w:color w:val="000000"/>
                <w:sz w:val="21"/>
                <w:szCs w:val="21"/>
              </w:rPr>
              <w:t>Dochody ogółem</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pacing w:val="-2"/>
                <w:sz w:val="21"/>
                <w:szCs w:val="21"/>
              </w:rPr>
            </w:pPr>
          </w:p>
        </w:tc>
      </w:tr>
      <w:tr w:rsidR="00F749A5" w:rsidRPr="00F749A5" w:rsidTr="00F749A5">
        <w:trPr>
          <w:trHeight w:val="321"/>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budżet państwa</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pacing w:val="-2"/>
                <w:sz w:val="21"/>
                <w:szCs w:val="21"/>
              </w:rPr>
            </w:pPr>
          </w:p>
        </w:tc>
      </w:tr>
      <w:tr w:rsidR="00F749A5" w:rsidRPr="00F749A5" w:rsidTr="00F749A5">
        <w:trPr>
          <w:trHeight w:val="344"/>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JST</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r>
      <w:tr w:rsidR="00F749A5" w:rsidRPr="00F749A5" w:rsidTr="00F749A5">
        <w:trPr>
          <w:trHeight w:val="344"/>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lastRenderedPageBreak/>
              <w:t>pozostałe jednostki (oddzielnie)</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r>
      <w:tr w:rsidR="00F749A5" w:rsidRPr="00F749A5" w:rsidTr="00F749A5">
        <w:trPr>
          <w:trHeight w:val="330"/>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b/>
                <w:color w:val="000000"/>
                <w:sz w:val="21"/>
                <w:szCs w:val="21"/>
              </w:rPr>
              <w:t>Wydatki ogółem</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z w:val="21"/>
                <w:szCs w:val="21"/>
              </w:rPr>
              <w:t>-</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1,5</w:t>
            </w: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7,2</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12,8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18,2</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346,2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751,9</w:t>
            </w:r>
          </w:p>
        </w:tc>
      </w:tr>
      <w:tr w:rsidR="00F749A5" w:rsidRPr="00F749A5" w:rsidTr="00F749A5">
        <w:trPr>
          <w:trHeight w:val="330"/>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budżet państwa</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D15C66" w:rsidRDefault="00F749A5" w:rsidP="00F749A5">
            <w:pPr>
              <w:spacing w:after="0" w:line="240" w:lineRule="auto"/>
              <w:jc w:val="center"/>
              <w:rPr>
                <w:rFonts w:ascii="Times New Roman" w:eastAsia="Calibri" w:hAnsi="Times New Roman" w:cs="Times New Roman"/>
                <w:color w:val="000000"/>
                <w:sz w:val="20"/>
                <w:szCs w:val="20"/>
                <w:vertAlign w:val="superscript"/>
              </w:rPr>
            </w:pPr>
            <w:r w:rsidRPr="00F749A5">
              <w:rPr>
                <w:rFonts w:ascii="Times New Roman" w:eastAsia="Calibri" w:hAnsi="Times New Roman" w:cs="Times New Roman"/>
                <w:color w:val="000000"/>
                <w:sz w:val="20"/>
                <w:szCs w:val="20"/>
              </w:rPr>
              <w:t>1,5</w:t>
            </w:r>
            <w:r w:rsidRPr="00F749A5">
              <w:rPr>
                <w:rFonts w:ascii="Times New Roman" w:eastAsia="Calibri" w:hAnsi="Times New Roman" w:cs="Times New Roman"/>
                <w:color w:val="000000"/>
                <w:sz w:val="20"/>
                <w:vertAlign w:val="superscript"/>
              </w:rPr>
              <w:footnoteReference w:id="16"/>
            </w:r>
            <w:r w:rsidR="003E6D84">
              <w:rPr>
                <w:rFonts w:ascii="Times New Roman" w:eastAsia="Calibri" w:hAnsi="Times New Roman" w:cs="Times New Roman"/>
                <w:color w:val="000000"/>
                <w:sz w:val="20"/>
                <w:szCs w:val="20"/>
                <w:vertAlign w:val="superscript"/>
              </w:rPr>
              <w:t>)</w:t>
            </w: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7,2</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12,8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18,2</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346,2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751,9</w:t>
            </w:r>
          </w:p>
        </w:tc>
      </w:tr>
      <w:tr w:rsidR="00F749A5" w:rsidRPr="00F749A5" w:rsidTr="00F749A5">
        <w:trPr>
          <w:trHeight w:val="351"/>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JST</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r>
      <w:tr w:rsidR="00F749A5" w:rsidRPr="00F749A5" w:rsidTr="00F749A5">
        <w:trPr>
          <w:trHeight w:val="351"/>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pozostałe jednostki (oddzielnie)</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p>
        </w:tc>
      </w:tr>
      <w:tr w:rsidR="00F749A5" w:rsidRPr="00F749A5" w:rsidTr="00F749A5">
        <w:trPr>
          <w:trHeight w:val="360"/>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b/>
                <w:color w:val="000000"/>
                <w:sz w:val="21"/>
                <w:szCs w:val="21"/>
              </w:rPr>
              <w:t>Saldo ogółem</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z w:val="21"/>
                <w:szCs w:val="21"/>
              </w:rPr>
              <w:t>-</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1,5</w:t>
            </w: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7,2</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12,8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18,2</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346,2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b/>
                <w:color w:val="000000"/>
                <w:sz w:val="20"/>
                <w:szCs w:val="20"/>
              </w:rPr>
            </w:pPr>
            <w:r w:rsidRPr="00F749A5">
              <w:rPr>
                <w:rFonts w:ascii="Times New Roman" w:eastAsia="Calibri" w:hAnsi="Times New Roman" w:cs="Times New Roman"/>
                <w:b/>
                <w:color w:val="000000"/>
                <w:sz w:val="20"/>
                <w:szCs w:val="20"/>
              </w:rPr>
              <w:t>751,9</w:t>
            </w:r>
          </w:p>
        </w:tc>
      </w:tr>
      <w:tr w:rsidR="00F749A5" w:rsidRPr="00F749A5" w:rsidTr="00F749A5">
        <w:trPr>
          <w:trHeight w:val="360"/>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budżet państwa</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b/>
                <w:color w:val="000000"/>
                <w:sz w:val="20"/>
                <w:szCs w:val="20"/>
              </w:rPr>
              <w:t>1,5</w:t>
            </w: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b/>
                <w:color w:val="000000"/>
                <w:sz w:val="20"/>
                <w:szCs w:val="20"/>
              </w:rPr>
              <w:t>7,2</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b/>
                <w:color w:val="000000"/>
                <w:sz w:val="20"/>
                <w:szCs w:val="20"/>
              </w:rPr>
              <w:t>12,8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b/>
                <w:color w:val="000000"/>
                <w:sz w:val="20"/>
                <w:szCs w:val="20"/>
              </w:rPr>
              <w:t>18,2</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b/>
                <w:color w:val="000000"/>
                <w:sz w:val="20"/>
                <w:szCs w:val="20"/>
              </w:rPr>
              <w:t>346,2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0"/>
                <w:szCs w:val="20"/>
              </w:rPr>
            </w:pPr>
            <w:r w:rsidRPr="00F749A5">
              <w:rPr>
                <w:rFonts w:ascii="Times New Roman" w:eastAsia="Calibri" w:hAnsi="Times New Roman" w:cs="Times New Roman"/>
                <w:color w:val="000000"/>
                <w:sz w:val="20"/>
                <w:szCs w:val="20"/>
              </w:rPr>
              <w:t>73,2</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0"/>
                <w:szCs w:val="20"/>
              </w:rPr>
            </w:pPr>
            <w:r w:rsidRPr="00F749A5">
              <w:rPr>
                <w:rFonts w:ascii="Times New Roman" w:eastAsia="Calibri" w:hAnsi="Times New Roman" w:cs="Times New Roman"/>
                <w:b/>
                <w:color w:val="000000"/>
                <w:sz w:val="20"/>
                <w:szCs w:val="20"/>
              </w:rPr>
              <w:t>751,9</w:t>
            </w:r>
          </w:p>
        </w:tc>
      </w:tr>
      <w:tr w:rsidR="00F749A5" w:rsidRPr="00F749A5" w:rsidTr="00F749A5">
        <w:trPr>
          <w:trHeight w:val="357"/>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JST</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r>
      <w:tr w:rsidR="00F749A5" w:rsidRPr="00F749A5" w:rsidTr="00F749A5">
        <w:trPr>
          <w:trHeight w:val="357"/>
        </w:trPr>
        <w:tc>
          <w:tcPr>
            <w:tcW w:w="31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pozostałe jednostki (oddzielnie)</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r>
      <w:tr w:rsidR="00F749A5" w:rsidRPr="00F749A5" w:rsidTr="00F749A5">
        <w:trPr>
          <w:gridAfter w:val="2"/>
          <w:wAfter w:w="34" w:type="dxa"/>
          <w:trHeight w:val="348"/>
        </w:trPr>
        <w:tc>
          <w:tcPr>
            <w:tcW w:w="2225" w:type="dxa"/>
            <w:gridSpan w:val="3"/>
            <w:shd w:val="clear" w:color="auto" w:fill="FFFFFF"/>
            <w:vAlign w:val="center"/>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 xml:space="preserve">Źródła finansowania </w:t>
            </w:r>
          </w:p>
        </w:tc>
        <w:tc>
          <w:tcPr>
            <w:tcW w:w="8691" w:type="dxa"/>
            <w:gridSpan w:val="26"/>
            <w:shd w:val="clear" w:color="auto" w:fill="FFFFFF"/>
            <w:vAlign w:val="center"/>
          </w:tcPr>
          <w:p w:rsidR="00F749A5" w:rsidRPr="00F749A5" w:rsidRDefault="00F749A5" w:rsidP="00F749A5">
            <w:pPr>
              <w:spacing w:after="0" w:line="240" w:lineRule="auto"/>
              <w:jc w:val="both"/>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Fundusz Dopłat (Fundusz Dopłat w zakresie projektowanego rządowego programu popierania budownictwa mieszkaniowego będzie zasilany ze środków budżetowych określanych corocznie w ustawie budżetowej – w części 18. Budownictwo, lokalne planowanie i zagospodarowanie przestrzenne oraz mieszkalnictwo).</w:t>
            </w:r>
            <w:r>
              <w:rPr>
                <w:rFonts w:ascii="Times New Roman" w:eastAsia="Calibri" w:hAnsi="Times New Roman" w:cs="Times New Roman"/>
                <w:color w:val="000000"/>
                <w:sz w:val="21"/>
                <w:szCs w:val="21"/>
              </w:rPr>
              <w:t xml:space="preserve"> </w:t>
            </w:r>
          </w:p>
        </w:tc>
      </w:tr>
      <w:tr w:rsidR="00F749A5" w:rsidRPr="00F749A5" w:rsidTr="00F749A5">
        <w:trPr>
          <w:gridAfter w:val="2"/>
          <w:wAfter w:w="34" w:type="dxa"/>
          <w:trHeight w:val="983"/>
        </w:trPr>
        <w:tc>
          <w:tcPr>
            <w:tcW w:w="2225" w:type="dxa"/>
            <w:gridSpan w:val="3"/>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Dodatkowe informacje, w tym wskazanie źródeł danych i przyjętych do obliczeń założeń</w:t>
            </w:r>
          </w:p>
        </w:tc>
        <w:tc>
          <w:tcPr>
            <w:tcW w:w="8691" w:type="dxa"/>
            <w:gridSpan w:val="26"/>
            <w:shd w:val="clear" w:color="auto" w:fill="FFFFFF"/>
          </w:tcPr>
          <w:p w:rsidR="00F749A5" w:rsidRPr="00F749A5" w:rsidRDefault="00F749A5" w:rsidP="00F749A5">
            <w:pPr>
              <w:tabs>
                <w:tab w:val="left" w:pos="8345"/>
              </w:tabs>
              <w:spacing w:after="120" w:line="240" w:lineRule="auto"/>
              <w:jc w:val="both"/>
              <w:rPr>
                <w:rFonts w:ascii="Times New Roman" w:eastAsia="Times New Roman" w:hAnsi="Times New Roman" w:cs="Times New Roman"/>
                <w:sz w:val="21"/>
                <w:szCs w:val="21"/>
                <w:lang w:eastAsia="pl-PL"/>
              </w:rPr>
            </w:pPr>
            <w:r w:rsidRPr="00F749A5">
              <w:rPr>
                <w:rFonts w:ascii="Times New Roman" w:eastAsia="Times New Roman" w:hAnsi="Times New Roman" w:cs="Times New Roman"/>
                <w:sz w:val="21"/>
                <w:szCs w:val="21"/>
                <w:lang w:eastAsia="pl-PL"/>
              </w:rPr>
              <w:t>Zgodnie z</w:t>
            </w:r>
            <w:r>
              <w:rPr>
                <w:rFonts w:ascii="Times New Roman" w:eastAsia="Times New Roman" w:hAnsi="Times New Roman" w:cs="Times New Roman"/>
                <w:sz w:val="21"/>
                <w:szCs w:val="21"/>
                <w:lang w:eastAsia="pl-PL"/>
              </w:rPr>
              <w:t xml:space="preserve"> </w:t>
            </w:r>
            <w:r w:rsidRPr="00F749A5">
              <w:rPr>
                <w:rFonts w:ascii="Times New Roman" w:eastAsia="Times New Roman" w:hAnsi="Times New Roman" w:cs="Times New Roman"/>
                <w:sz w:val="21"/>
                <w:szCs w:val="21"/>
                <w:lang w:eastAsia="pl-PL"/>
              </w:rPr>
              <w:t>założeniami nowego programu wsparcia społecznego budownictwa czynszowego w ocenie skutków regulacji przyjęto realizację 10 edycji programu, finansującego łącznie co najmniej 30 tys. lokali mieszkalnych na wynajem. Zakładając realizację programu w oparciu o preferencyjny kredyt oprocentowany w formule stopy zmiennej wg stawki WIBOR 3M bez marży, przyjęto ponadto:</w:t>
            </w:r>
          </w:p>
          <w:p w:rsidR="00F749A5" w:rsidRPr="00F749A5" w:rsidRDefault="00F749A5" w:rsidP="002247E9">
            <w:pPr>
              <w:numPr>
                <w:ilvl w:val="0"/>
                <w:numId w:val="14"/>
              </w:numPr>
              <w:spacing w:after="120" w:line="240" w:lineRule="auto"/>
              <w:ind w:left="360"/>
              <w:contextualSpacing/>
              <w:jc w:val="both"/>
              <w:rPr>
                <w:rFonts w:ascii="Times New Roman" w:eastAsia="Times New Roman" w:hAnsi="Times New Roman" w:cs="Times New Roman"/>
                <w:sz w:val="21"/>
                <w:szCs w:val="21"/>
                <w:lang w:eastAsia="pl-PL"/>
              </w:rPr>
            </w:pPr>
            <w:r w:rsidRPr="00F749A5">
              <w:rPr>
                <w:rFonts w:ascii="Times New Roman" w:eastAsia="Times New Roman" w:hAnsi="Times New Roman" w:cs="Times New Roman"/>
                <w:sz w:val="21"/>
                <w:szCs w:val="21"/>
                <w:lang w:eastAsia="pl-PL"/>
              </w:rPr>
              <w:t>mechanizm wsparcia ze środków publicznych w formie dopłat dla BGK, warunkujących zachowanie preferencyjnych warunków finansowania (dopłata pokrywająca różnicę pomiędzy oprocentowaniem nominalnym a</w:t>
            </w:r>
            <w:r>
              <w:rPr>
                <w:rFonts w:ascii="Times New Roman" w:eastAsia="Times New Roman" w:hAnsi="Times New Roman" w:cs="Times New Roman"/>
                <w:sz w:val="21"/>
                <w:szCs w:val="21"/>
                <w:lang w:eastAsia="pl-PL"/>
              </w:rPr>
              <w:t xml:space="preserve"> </w:t>
            </w:r>
            <w:r w:rsidRPr="00F749A5">
              <w:rPr>
                <w:rFonts w:ascii="Times New Roman" w:eastAsia="Times New Roman" w:hAnsi="Times New Roman" w:cs="Times New Roman"/>
                <w:sz w:val="21"/>
                <w:szCs w:val="21"/>
                <w:lang w:eastAsia="pl-PL"/>
              </w:rPr>
              <w:t xml:space="preserve">preferencyjnym, w wysokości 130 pkt bazowych – 1,3% powyżej stawki WIBOR); </w:t>
            </w:r>
          </w:p>
          <w:p w:rsidR="00F749A5" w:rsidRPr="00F749A5" w:rsidRDefault="00F749A5" w:rsidP="002247E9">
            <w:pPr>
              <w:numPr>
                <w:ilvl w:val="0"/>
                <w:numId w:val="14"/>
              </w:numPr>
              <w:spacing w:after="120" w:line="240" w:lineRule="auto"/>
              <w:ind w:left="360"/>
              <w:contextualSpacing/>
              <w:jc w:val="both"/>
              <w:rPr>
                <w:rFonts w:ascii="Times New Roman" w:eastAsia="Times New Roman" w:hAnsi="Times New Roman" w:cs="Times New Roman"/>
                <w:sz w:val="21"/>
                <w:szCs w:val="21"/>
                <w:lang w:eastAsia="pl-PL"/>
              </w:rPr>
            </w:pPr>
            <w:r w:rsidRPr="00F749A5">
              <w:rPr>
                <w:rFonts w:ascii="Times New Roman" w:eastAsia="Times New Roman" w:hAnsi="Times New Roman" w:cs="Times New Roman"/>
                <w:sz w:val="21"/>
                <w:szCs w:val="21"/>
                <w:lang w:eastAsia="pl-PL"/>
              </w:rPr>
              <w:t>wolumen finansowania preferencyjnego w ramach rocznej edycji na poziomie 455 mln zł;</w:t>
            </w:r>
          </w:p>
          <w:p w:rsidR="00F749A5" w:rsidRPr="00F749A5" w:rsidRDefault="00F749A5" w:rsidP="002247E9">
            <w:pPr>
              <w:numPr>
                <w:ilvl w:val="0"/>
                <w:numId w:val="14"/>
              </w:numPr>
              <w:spacing w:after="120" w:line="240" w:lineRule="auto"/>
              <w:ind w:left="360"/>
              <w:contextualSpacing/>
              <w:jc w:val="both"/>
              <w:rPr>
                <w:rFonts w:ascii="Times New Roman" w:eastAsia="Times New Roman" w:hAnsi="Times New Roman" w:cs="Times New Roman"/>
                <w:sz w:val="21"/>
                <w:szCs w:val="21"/>
                <w:lang w:eastAsia="pl-PL"/>
              </w:rPr>
            </w:pPr>
            <w:r w:rsidRPr="00F749A5">
              <w:rPr>
                <w:rFonts w:ascii="Times New Roman" w:eastAsia="Times New Roman" w:hAnsi="Times New Roman" w:cs="Times New Roman"/>
                <w:sz w:val="21"/>
                <w:szCs w:val="21"/>
                <w:lang w:eastAsia="pl-PL"/>
              </w:rPr>
              <w:t>sfinansowanie co najmniej 30 tys. mieszkań o średniej powierzchni 50 m</w:t>
            </w:r>
            <w:r w:rsidRPr="00F749A5">
              <w:rPr>
                <w:rFonts w:ascii="Times New Roman" w:eastAsia="Times New Roman" w:hAnsi="Times New Roman" w:cs="Times New Roman"/>
                <w:sz w:val="21"/>
                <w:szCs w:val="21"/>
                <w:vertAlign w:val="superscript"/>
                <w:lang w:eastAsia="pl-PL"/>
              </w:rPr>
              <w:t>2</w:t>
            </w:r>
            <w:r w:rsidRPr="00F749A5">
              <w:rPr>
                <w:rFonts w:ascii="Times New Roman" w:eastAsia="Times New Roman" w:hAnsi="Times New Roman" w:cs="Times New Roman"/>
                <w:sz w:val="21"/>
                <w:szCs w:val="21"/>
                <w:lang w:eastAsia="pl-PL"/>
              </w:rPr>
              <w:t>, przyjmując przeciętny koszt budowy 1 m</w:t>
            </w:r>
            <w:r w:rsidRPr="00F749A5">
              <w:rPr>
                <w:rFonts w:ascii="Times New Roman" w:eastAsia="Times New Roman" w:hAnsi="Times New Roman" w:cs="Times New Roman"/>
                <w:sz w:val="21"/>
                <w:szCs w:val="21"/>
                <w:vertAlign w:val="superscript"/>
                <w:lang w:eastAsia="pl-PL"/>
              </w:rPr>
              <w:t>2</w:t>
            </w:r>
            <w:r w:rsidRPr="00F749A5">
              <w:rPr>
                <w:rFonts w:ascii="Times New Roman" w:eastAsia="Times New Roman" w:hAnsi="Times New Roman" w:cs="Times New Roman"/>
                <w:sz w:val="21"/>
                <w:szCs w:val="21"/>
                <w:lang w:eastAsia="pl-PL"/>
              </w:rPr>
              <w:t xml:space="preserve"> na poziomie 4 tys. zł (przeciętny </w:t>
            </w:r>
            <w:proofErr w:type="spellStart"/>
            <w:r w:rsidRPr="00F749A5">
              <w:rPr>
                <w:rFonts w:ascii="Times New Roman" w:eastAsia="Times New Roman" w:hAnsi="Times New Roman" w:cs="Times New Roman"/>
                <w:sz w:val="21"/>
                <w:szCs w:val="21"/>
                <w:lang w:eastAsia="pl-PL"/>
              </w:rPr>
              <w:t>LtV</w:t>
            </w:r>
            <w:proofErr w:type="spellEnd"/>
            <w:r w:rsidRPr="00F749A5">
              <w:rPr>
                <w:rFonts w:ascii="Times New Roman" w:eastAsia="Times New Roman" w:hAnsi="Times New Roman" w:cs="Times New Roman"/>
                <w:sz w:val="21"/>
                <w:szCs w:val="21"/>
                <w:lang w:eastAsia="pl-PL"/>
              </w:rPr>
              <w:t xml:space="preserve"> 65%, przy maksymalnym </w:t>
            </w:r>
            <w:proofErr w:type="spellStart"/>
            <w:r w:rsidRPr="00F749A5">
              <w:rPr>
                <w:rFonts w:ascii="Times New Roman" w:eastAsia="Times New Roman" w:hAnsi="Times New Roman" w:cs="Times New Roman"/>
                <w:sz w:val="21"/>
                <w:szCs w:val="21"/>
                <w:lang w:eastAsia="pl-PL"/>
              </w:rPr>
              <w:t>LtV</w:t>
            </w:r>
            <w:proofErr w:type="spellEnd"/>
            <w:r w:rsidRPr="00F749A5">
              <w:rPr>
                <w:rFonts w:ascii="Times New Roman" w:eastAsia="Times New Roman" w:hAnsi="Times New Roman" w:cs="Times New Roman"/>
                <w:sz w:val="21"/>
                <w:szCs w:val="21"/>
                <w:lang w:eastAsia="pl-PL"/>
              </w:rPr>
              <w:t xml:space="preserve"> na poziomie 75%).</w:t>
            </w:r>
          </w:p>
          <w:p w:rsidR="00F749A5" w:rsidRPr="00F749A5" w:rsidRDefault="00F749A5" w:rsidP="00F749A5">
            <w:pPr>
              <w:tabs>
                <w:tab w:val="left" w:pos="8345"/>
              </w:tabs>
              <w:spacing w:after="120" w:line="240" w:lineRule="auto"/>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 xml:space="preserve">Biorąc pod uwagę konieczność zapewnienia takich warunków bieżącej obsługi zobowiązań z tytułu kredytu, które umożliwiały będą utrzymywanie czynszów na poziomie preferencyjnym, określony we współpracy z BGK zestaw parametrów zakładanego produktu kredytowego przewiduje m.in. maksymalny okres spłaty kredytu na poziomie 30 lat. Pomimo przyjętego modelu interwencji w formie dopłat do oprocentowania długoterminowych kredytów założenia koncepcji programu nie przewidują powstania wieloletnich zobowiązań finansowych po stronie budżetu państwa. Przyjęto, że w pierwszym roku istotnego spadku aktualnych wydatków budżetowych na mieszkalnictwo (związanego z zakończeniem okresu przyjmowania nowych wniosków w programie </w:t>
            </w:r>
            <w:proofErr w:type="spellStart"/>
            <w:r w:rsidRPr="00F749A5">
              <w:rPr>
                <w:rFonts w:ascii="Times New Roman" w:eastAsia="Calibri" w:hAnsi="Times New Roman" w:cs="Times New Roman"/>
                <w:sz w:val="21"/>
                <w:szCs w:val="21"/>
              </w:rPr>
              <w:t>MdM</w:t>
            </w:r>
            <w:proofErr w:type="spellEnd"/>
            <w:r w:rsidRPr="00F749A5">
              <w:rPr>
                <w:rFonts w:ascii="Times New Roman" w:eastAsia="Calibri" w:hAnsi="Times New Roman" w:cs="Times New Roman"/>
                <w:sz w:val="21"/>
                <w:szCs w:val="21"/>
                <w:vertAlign w:val="superscript"/>
              </w:rPr>
              <w:footnoteReference w:id="17"/>
            </w:r>
            <w:r w:rsidR="003E6D84">
              <w:rPr>
                <w:rFonts w:ascii="Times New Roman" w:eastAsia="Calibri" w:hAnsi="Times New Roman" w:cs="Times New Roman"/>
                <w:sz w:val="21"/>
                <w:szCs w:val="21"/>
                <w:vertAlign w:val="superscript"/>
              </w:rPr>
              <w:t>)</w:t>
            </w:r>
            <w:r w:rsidRPr="00F749A5">
              <w:rPr>
                <w:rFonts w:ascii="Times New Roman" w:eastAsia="Calibri" w:hAnsi="Times New Roman" w:cs="Times New Roman"/>
                <w:sz w:val="21"/>
                <w:szCs w:val="21"/>
              </w:rPr>
              <w:t xml:space="preserve">) dokonane zostanie jednorazowe rozliczenie całości pozostałych zobowiązań budżetu państwa z tytułu dopłat do oprocentowania. Zakładane rozliczenie uwzględnia tym samym wycenę przez BGK przyszłych nominalnych kwot dopłat, tj. bierze pod uwagę wartości nominalne przyszłych dopłat, należnych za poszczególne okresy spłat rat kapitałowo-odsetkowych, zdyskontowane na rok dokonywania jednorazowej „dopłaty balonowej”. </w:t>
            </w:r>
          </w:p>
          <w:p w:rsidR="00F749A5" w:rsidRPr="00F749A5" w:rsidRDefault="00F749A5" w:rsidP="00F749A5">
            <w:pPr>
              <w:tabs>
                <w:tab w:val="left" w:pos="8345"/>
              </w:tabs>
              <w:spacing w:after="120" w:line="240" w:lineRule="auto"/>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Zakładany model rozliczeń został opracowany w uzgodnieniu z Bankiem Gospodarstwa Krajowego – w obliczeniach</w:t>
            </w:r>
            <w:r>
              <w:rPr>
                <w:rFonts w:ascii="Times New Roman" w:eastAsia="Calibri" w:hAnsi="Times New Roman" w:cs="Times New Roman"/>
                <w:sz w:val="21"/>
                <w:szCs w:val="21"/>
              </w:rPr>
              <w:t xml:space="preserve"> </w:t>
            </w:r>
            <w:r w:rsidRPr="00F749A5">
              <w:rPr>
                <w:rFonts w:ascii="Times New Roman" w:eastAsia="Calibri" w:hAnsi="Times New Roman" w:cs="Times New Roman"/>
                <w:sz w:val="21"/>
                <w:szCs w:val="21"/>
              </w:rPr>
              <w:t>wykorzystano również analizy BGK w zakresie możliwych źródeł akcji kredytowej w ramach programu, kosztów obsługi programu oraz poziomu dotacji umożliwiającej preferencyjne oprocentowanie kredytów oraz pokrycie kosztów związanych z programem.</w:t>
            </w:r>
          </w:p>
          <w:p w:rsidR="00F749A5" w:rsidRPr="00F749A5" w:rsidRDefault="00F749A5" w:rsidP="00F749A5">
            <w:pPr>
              <w:spacing w:after="120" w:line="240" w:lineRule="auto"/>
              <w:contextualSpacing/>
              <w:jc w:val="both"/>
              <w:rPr>
                <w:rFonts w:ascii="Times New Roman" w:eastAsia="Times New Roman" w:hAnsi="Times New Roman" w:cs="Times New Roman"/>
                <w:sz w:val="21"/>
                <w:szCs w:val="21"/>
                <w:lang w:eastAsia="pl-PL"/>
              </w:rPr>
            </w:pPr>
            <w:r w:rsidRPr="00F749A5">
              <w:rPr>
                <w:rFonts w:ascii="Times New Roman" w:eastAsia="Times New Roman" w:hAnsi="Times New Roman" w:cs="Times New Roman"/>
                <w:sz w:val="21"/>
                <w:szCs w:val="21"/>
                <w:lang w:eastAsia="pl-PL"/>
              </w:rPr>
              <w:t xml:space="preserve">Ocena oddziaływania rozwiązań na sektor finansów publicznych miała charakter konserwatywny. </w:t>
            </w:r>
          </w:p>
          <w:p w:rsidR="00F749A5" w:rsidRPr="00F749A5" w:rsidRDefault="00F749A5" w:rsidP="00F749A5">
            <w:pPr>
              <w:spacing w:after="120" w:line="240" w:lineRule="auto"/>
              <w:contextualSpacing/>
              <w:jc w:val="both"/>
              <w:rPr>
                <w:rFonts w:ascii="Times New Roman" w:eastAsia="Calibri" w:hAnsi="Times New Roman" w:cs="Times New Roman"/>
                <w:spacing w:val="-2"/>
                <w:sz w:val="21"/>
                <w:szCs w:val="21"/>
              </w:rPr>
            </w:pPr>
            <w:r w:rsidRPr="00F749A5">
              <w:rPr>
                <w:rFonts w:ascii="Times New Roman" w:eastAsia="Times New Roman" w:hAnsi="Times New Roman" w:cs="Times New Roman"/>
                <w:sz w:val="21"/>
                <w:szCs w:val="21"/>
                <w:lang w:eastAsia="pl-PL"/>
              </w:rPr>
              <w:t>W szacunkach pominięto ocenę dodatkowych wpływów do budżetu państwa, związanych z generowaniem w ramach programu nowych inwestycji budownictwa mieszkaniowego. Pominięto również trudno kwantyfikowalny w ujęciu pieniężnym, pozytywny efekt uruchomienia nowego programu dla sytuacji JST: z</w:t>
            </w:r>
            <w:r w:rsidRPr="00F749A5">
              <w:rPr>
                <w:rFonts w:ascii="Times New Roman" w:eastAsia="Calibri" w:hAnsi="Times New Roman" w:cs="Times New Roman"/>
                <w:spacing w:val="-2"/>
                <w:sz w:val="21"/>
                <w:szCs w:val="21"/>
              </w:rPr>
              <w:t xml:space="preserve">większenie liczby mieszkań możliwych do wykorzystania w ramach </w:t>
            </w:r>
            <w:r w:rsidRPr="00F749A5">
              <w:rPr>
                <w:rFonts w:ascii="Times New Roman" w:eastAsia="Calibri" w:hAnsi="Times New Roman" w:cs="Times New Roman"/>
                <w:spacing w:val="-2"/>
                <w:sz w:val="21"/>
                <w:szCs w:val="21"/>
              </w:rPr>
              <w:lastRenderedPageBreak/>
              <w:t>prowadzonej lokalnej polityki mieszkaniowej, wykorzystanie pozyskanych na obszarze gminy nowych zasobów jako środka zapewniającego racjonalną alokację lokatorów w mieszkaniowym zasobie gminy (proces tzw. łańcucha przeprowadzek), jak również – w ujęciu strategicznym – stworzenie lepszych podstaw d</w:t>
            </w:r>
            <w:r w:rsidR="00A811AE">
              <w:rPr>
                <w:rFonts w:ascii="Times New Roman" w:eastAsia="Calibri" w:hAnsi="Times New Roman" w:cs="Times New Roman"/>
                <w:spacing w:val="-2"/>
                <w:sz w:val="21"/>
                <w:szCs w:val="21"/>
              </w:rPr>
              <w:t>o</w:t>
            </w:r>
            <w:r w:rsidRPr="00F749A5">
              <w:rPr>
                <w:rFonts w:ascii="Times New Roman" w:eastAsia="Calibri" w:hAnsi="Times New Roman" w:cs="Times New Roman"/>
                <w:spacing w:val="-2"/>
                <w:sz w:val="21"/>
                <w:szCs w:val="21"/>
              </w:rPr>
              <w:t xml:space="preserve"> działań racjonalizujących politykę mieszkaniową JST.</w:t>
            </w:r>
          </w:p>
        </w:tc>
      </w:tr>
      <w:tr w:rsidR="00F749A5" w:rsidRPr="00F749A5" w:rsidTr="00F749A5">
        <w:trPr>
          <w:gridAfter w:val="2"/>
          <w:wAfter w:w="34" w:type="dxa"/>
          <w:trHeight w:val="345"/>
        </w:trPr>
        <w:tc>
          <w:tcPr>
            <w:tcW w:w="10916" w:type="dxa"/>
            <w:gridSpan w:val="29"/>
            <w:shd w:val="clear" w:color="auto" w:fill="99CCFF"/>
          </w:tcPr>
          <w:p w:rsidR="00F749A5" w:rsidRPr="00F749A5" w:rsidRDefault="00F749A5" w:rsidP="00F749A5">
            <w:pPr>
              <w:numPr>
                <w:ilvl w:val="0"/>
                <w:numId w:val="38"/>
              </w:numPr>
              <w:spacing w:before="120" w:after="120" w:line="240" w:lineRule="auto"/>
              <w:jc w:val="both"/>
              <w:rPr>
                <w:rFonts w:ascii="Times New Roman" w:eastAsia="Calibri" w:hAnsi="Times New Roman" w:cs="Times New Roman"/>
                <w:b/>
                <w:color w:val="000000"/>
                <w:spacing w:val="-2"/>
              </w:rPr>
            </w:pPr>
            <w:r w:rsidRPr="00F749A5">
              <w:rPr>
                <w:rFonts w:ascii="Times New Roman" w:eastAsia="Calibri" w:hAnsi="Times New Roman" w:cs="Times New Roman"/>
                <w:b/>
                <w:color w:val="000000"/>
                <w:spacing w:val="-2"/>
              </w:rPr>
              <w:lastRenderedPageBreak/>
              <w:t xml:space="preserve">Wpływ na </w:t>
            </w:r>
            <w:r w:rsidRPr="00F749A5">
              <w:rPr>
                <w:rFonts w:ascii="Times New Roman" w:eastAsia="Calibri" w:hAnsi="Times New Roman" w:cs="Times New Roman"/>
                <w:b/>
                <w:color w:val="000000"/>
              </w:rPr>
              <w:t xml:space="preserve">konkurencyjność gospodarki i przedsiębiorczość, w tym funkcjonowanie przedsiębiorców oraz na rodzinę, obywateli i gospodarstwa domowe </w:t>
            </w:r>
          </w:p>
        </w:tc>
      </w:tr>
      <w:tr w:rsidR="00F749A5" w:rsidRPr="00F749A5" w:rsidTr="00F749A5">
        <w:trPr>
          <w:gridAfter w:val="2"/>
          <w:wAfter w:w="34" w:type="dxa"/>
          <w:trHeight w:val="142"/>
        </w:trPr>
        <w:tc>
          <w:tcPr>
            <w:tcW w:w="10916" w:type="dxa"/>
            <w:gridSpan w:val="29"/>
            <w:shd w:val="clear" w:color="auto" w:fill="FFFFFF"/>
          </w:tcPr>
          <w:p w:rsidR="00F749A5" w:rsidRPr="00F749A5" w:rsidRDefault="00F749A5" w:rsidP="00F749A5">
            <w:pPr>
              <w:spacing w:after="0" w:line="240" w:lineRule="auto"/>
              <w:jc w:val="center"/>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pacing w:val="-2"/>
                <w:sz w:val="21"/>
                <w:szCs w:val="21"/>
              </w:rPr>
              <w:t>Skutki</w:t>
            </w:r>
          </w:p>
        </w:tc>
      </w:tr>
      <w:tr w:rsidR="00F749A5" w:rsidRPr="00F749A5" w:rsidTr="00F749A5">
        <w:trPr>
          <w:gridAfter w:val="2"/>
          <w:wAfter w:w="34" w:type="dxa"/>
          <w:trHeight w:val="142"/>
        </w:trPr>
        <w:tc>
          <w:tcPr>
            <w:tcW w:w="3871" w:type="dxa"/>
            <w:gridSpan w:val="6"/>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Czas w latach od wejścia w życie zmian</w:t>
            </w:r>
          </w:p>
        </w:tc>
        <w:tc>
          <w:tcPr>
            <w:tcW w:w="654" w:type="dxa"/>
            <w:gridSpan w:val="2"/>
            <w:shd w:val="clear" w:color="auto" w:fill="FFFFFF"/>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0</w:t>
            </w:r>
          </w:p>
        </w:tc>
        <w:tc>
          <w:tcPr>
            <w:tcW w:w="854" w:type="dxa"/>
            <w:gridSpan w:val="4"/>
            <w:shd w:val="clear" w:color="auto" w:fill="FFFFFF"/>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1</w:t>
            </w:r>
          </w:p>
        </w:tc>
        <w:tc>
          <w:tcPr>
            <w:tcW w:w="851" w:type="dxa"/>
            <w:gridSpan w:val="3"/>
            <w:shd w:val="clear" w:color="auto" w:fill="FFFFFF"/>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2</w:t>
            </w:r>
          </w:p>
        </w:tc>
        <w:tc>
          <w:tcPr>
            <w:tcW w:w="850" w:type="dxa"/>
            <w:gridSpan w:val="4"/>
            <w:shd w:val="clear" w:color="auto" w:fill="FFFFFF"/>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3</w:t>
            </w:r>
          </w:p>
        </w:tc>
        <w:tc>
          <w:tcPr>
            <w:tcW w:w="855" w:type="dxa"/>
            <w:gridSpan w:val="3"/>
            <w:shd w:val="clear" w:color="auto" w:fill="FFFFFF"/>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4</w:t>
            </w:r>
          </w:p>
        </w:tc>
        <w:tc>
          <w:tcPr>
            <w:tcW w:w="850" w:type="dxa"/>
            <w:gridSpan w:val="3"/>
            <w:shd w:val="clear" w:color="auto" w:fill="FFFFFF"/>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5</w:t>
            </w:r>
          </w:p>
        </w:tc>
        <w:tc>
          <w:tcPr>
            <w:tcW w:w="720" w:type="dxa"/>
            <w:gridSpan w:val="2"/>
            <w:shd w:val="clear" w:color="auto" w:fill="FFFFFF"/>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10</w:t>
            </w:r>
          </w:p>
        </w:tc>
        <w:tc>
          <w:tcPr>
            <w:tcW w:w="1411" w:type="dxa"/>
            <w:gridSpan w:val="2"/>
            <w:shd w:val="clear" w:color="auto" w:fill="FFFFFF"/>
          </w:tcPr>
          <w:p w:rsidR="00F749A5" w:rsidRPr="00F749A5" w:rsidRDefault="00F749A5" w:rsidP="00F749A5">
            <w:pPr>
              <w:spacing w:after="0" w:line="240" w:lineRule="auto"/>
              <w:jc w:val="center"/>
              <w:rPr>
                <w:rFonts w:ascii="Times New Roman" w:eastAsia="Calibri" w:hAnsi="Times New Roman" w:cs="Times New Roman"/>
                <w:i/>
                <w:color w:val="000000"/>
                <w:spacing w:val="-2"/>
                <w:sz w:val="21"/>
                <w:szCs w:val="21"/>
              </w:rPr>
            </w:pPr>
            <w:r w:rsidRPr="00F749A5">
              <w:rPr>
                <w:rFonts w:ascii="Times New Roman" w:eastAsia="Calibri" w:hAnsi="Times New Roman" w:cs="Times New Roman"/>
                <w:i/>
                <w:color w:val="000000"/>
                <w:spacing w:val="-2"/>
                <w:sz w:val="21"/>
                <w:szCs w:val="21"/>
              </w:rPr>
              <w:t>Łącznie</w:t>
            </w:r>
            <w:r w:rsidRPr="00F749A5" w:rsidDel="0073273A">
              <w:rPr>
                <w:rFonts w:ascii="Times New Roman" w:eastAsia="Calibri" w:hAnsi="Times New Roman" w:cs="Times New Roman"/>
                <w:i/>
                <w:color w:val="000000"/>
                <w:spacing w:val="-2"/>
                <w:sz w:val="21"/>
                <w:szCs w:val="21"/>
              </w:rPr>
              <w:t xml:space="preserve"> </w:t>
            </w:r>
            <w:r w:rsidR="002247E9">
              <w:rPr>
                <w:rFonts w:ascii="Times New Roman" w:eastAsia="Calibri" w:hAnsi="Times New Roman" w:cs="Times New Roman"/>
                <w:i/>
                <w:color w:val="000000"/>
                <w:spacing w:val="-2"/>
                <w:sz w:val="21"/>
                <w:szCs w:val="21"/>
              </w:rPr>
              <w:br/>
            </w:r>
            <w:r w:rsidRPr="00F749A5">
              <w:rPr>
                <w:rFonts w:ascii="Times New Roman" w:eastAsia="Calibri" w:hAnsi="Times New Roman" w:cs="Times New Roman"/>
                <w:i/>
                <w:color w:val="000000"/>
                <w:spacing w:val="-2"/>
                <w:sz w:val="21"/>
                <w:szCs w:val="21"/>
              </w:rPr>
              <w:t>(0-10)</w:t>
            </w:r>
          </w:p>
        </w:tc>
      </w:tr>
      <w:tr w:rsidR="00F749A5" w:rsidRPr="00F749A5" w:rsidTr="00F749A5">
        <w:trPr>
          <w:gridAfter w:val="2"/>
          <w:wAfter w:w="34" w:type="dxa"/>
          <w:trHeight w:val="142"/>
        </w:trPr>
        <w:tc>
          <w:tcPr>
            <w:tcW w:w="1587" w:type="dxa"/>
            <w:vMerge w:val="restart"/>
            <w:shd w:val="clear" w:color="auto" w:fill="FFFFFF"/>
          </w:tcPr>
          <w:p w:rsidR="00F749A5" w:rsidRPr="00F749A5" w:rsidRDefault="00F749A5" w:rsidP="00F749A5">
            <w:pPr>
              <w:spacing w:after="0"/>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 ujęciu pieniężnym</w:t>
            </w:r>
          </w:p>
          <w:p w:rsidR="00F749A5" w:rsidRPr="00F749A5" w:rsidRDefault="00F749A5" w:rsidP="00F749A5">
            <w:pPr>
              <w:spacing w:after="0"/>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(w mln zł, </w:t>
            </w:r>
          </w:p>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spacing w:val="-2"/>
                <w:sz w:val="21"/>
                <w:szCs w:val="21"/>
              </w:rPr>
              <w:t xml:space="preserve">ceny stałe </w:t>
            </w:r>
            <w:r w:rsidR="002247E9">
              <w:rPr>
                <w:rFonts w:ascii="Times New Roman" w:eastAsia="Calibri" w:hAnsi="Times New Roman" w:cs="Times New Roman"/>
                <w:spacing w:val="-2"/>
                <w:sz w:val="21"/>
                <w:szCs w:val="21"/>
              </w:rPr>
              <w:br/>
            </w:r>
            <w:r w:rsidRPr="00F749A5">
              <w:rPr>
                <w:rFonts w:ascii="Times New Roman" w:eastAsia="Calibri" w:hAnsi="Times New Roman" w:cs="Times New Roman"/>
                <w:spacing w:val="-2"/>
                <w:sz w:val="21"/>
                <w:szCs w:val="21"/>
              </w:rPr>
              <w:t>z 2014</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r.)</w:t>
            </w:r>
          </w:p>
        </w:tc>
        <w:tc>
          <w:tcPr>
            <w:tcW w:w="2284" w:type="dxa"/>
            <w:gridSpan w:val="5"/>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duże przedsiębiorstwa</w:t>
            </w:r>
          </w:p>
        </w:tc>
        <w:tc>
          <w:tcPr>
            <w:tcW w:w="654"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4" w:type="dxa"/>
            <w:gridSpan w:val="4"/>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1"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0" w:type="dxa"/>
            <w:gridSpan w:val="4"/>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5"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0"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720"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1411"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pacing w:val="-2"/>
                <w:sz w:val="21"/>
                <w:szCs w:val="21"/>
              </w:rPr>
            </w:pPr>
          </w:p>
        </w:tc>
      </w:tr>
      <w:tr w:rsidR="00F749A5" w:rsidRPr="00F749A5" w:rsidTr="00F749A5">
        <w:trPr>
          <w:gridAfter w:val="2"/>
          <w:wAfter w:w="34" w:type="dxa"/>
          <w:trHeight w:val="142"/>
        </w:trPr>
        <w:tc>
          <w:tcPr>
            <w:tcW w:w="1587" w:type="dxa"/>
            <w:vMerge/>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2284" w:type="dxa"/>
            <w:gridSpan w:val="5"/>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sektor mikro-, małych i średnich przedsiębiorstw</w:t>
            </w:r>
          </w:p>
        </w:tc>
        <w:tc>
          <w:tcPr>
            <w:tcW w:w="654"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854" w:type="dxa"/>
            <w:gridSpan w:val="4"/>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450</w:t>
            </w:r>
          </w:p>
        </w:tc>
        <w:tc>
          <w:tcPr>
            <w:tcW w:w="851"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450</w:t>
            </w:r>
          </w:p>
        </w:tc>
        <w:tc>
          <w:tcPr>
            <w:tcW w:w="850" w:type="dxa"/>
            <w:gridSpan w:val="4"/>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450</w:t>
            </w:r>
          </w:p>
        </w:tc>
        <w:tc>
          <w:tcPr>
            <w:tcW w:w="855"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450</w:t>
            </w:r>
          </w:p>
        </w:tc>
        <w:tc>
          <w:tcPr>
            <w:tcW w:w="850"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450</w:t>
            </w:r>
          </w:p>
        </w:tc>
        <w:tc>
          <w:tcPr>
            <w:tcW w:w="720"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450</w:t>
            </w:r>
          </w:p>
        </w:tc>
        <w:tc>
          <w:tcPr>
            <w:tcW w:w="1411" w:type="dxa"/>
            <w:gridSpan w:val="2"/>
            <w:shd w:val="clear" w:color="auto" w:fill="FFFFFF"/>
            <w:vAlign w:val="center"/>
          </w:tcPr>
          <w:p w:rsidR="00F749A5" w:rsidRPr="00D15C66" w:rsidRDefault="00F749A5" w:rsidP="00F749A5">
            <w:pPr>
              <w:spacing w:after="0" w:line="240" w:lineRule="auto"/>
              <w:jc w:val="center"/>
              <w:rPr>
                <w:rFonts w:ascii="Times New Roman" w:eastAsia="Calibri" w:hAnsi="Times New Roman" w:cs="Times New Roman"/>
                <w:color w:val="000000"/>
                <w:spacing w:val="-2"/>
                <w:sz w:val="21"/>
                <w:szCs w:val="21"/>
                <w:vertAlign w:val="superscript"/>
              </w:rPr>
            </w:pPr>
            <w:r w:rsidRPr="00F749A5">
              <w:rPr>
                <w:rFonts w:ascii="Times New Roman" w:eastAsia="Calibri" w:hAnsi="Times New Roman" w:cs="Times New Roman"/>
                <w:color w:val="000000"/>
                <w:spacing w:val="-2"/>
                <w:sz w:val="21"/>
                <w:szCs w:val="21"/>
              </w:rPr>
              <w:t>4500</w:t>
            </w:r>
            <w:r w:rsidRPr="00F749A5">
              <w:rPr>
                <w:rFonts w:ascii="Times New Roman" w:eastAsia="Calibri" w:hAnsi="Times New Roman" w:cs="Times New Roman"/>
                <w:color w:val="000000"/>
                <w:spacing w:val="-2"/>
                <w:sz w:val="21"/>
                <w:vertAlign w:val="superscript"/>
              </w:rPr>
              <w:footnoteReference w:id="18"/>
            </w:r>
            <w:r w:rsidR="00A811AE">
              <w:rPr>
                <w:rFonts w:ascii="Times New Roman" w:eastAsia="Calibri" w:hAnsi="Times New Roman" w:cs="Times New Roman"/>
                <w:color w:val="000000"/>
                <w:spacing w:val="-2"/>
                <w:sz w:val="21"/>
                <w:szCs w:val="21"/>
                <w:vertAlign w:val="superscript"/>
              </w:rPr>
              <w:t>)</w:t>
            </w:r>
          </w:p>
        </w:tc>
      </w:tr>
      <w:tr w:rsidR="00F749A5" w:rsidRPr="00F749A5" w:rsidTr="00F749A5">
        <w:trPr>
          <w:gridAfter w:val="2"/>
          <w:wAfter w:w="34" w:type="dxa"/>
          <w:trHeight w:val="142"/>
        </w:trPr>
        <w:tc>
          <w:tcPr>
            <w:tcW w:w="1587" w:type="dxa"/>
            <w:vMerge/>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2284" w:type="dxa"/>
            <w:gridSpan w:val="5"/>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sz w:val="21"/>
                <w:szCs w:val="21"/>
              </w:rPr>
              <w:t>rodzina, obywatele oraz gospodarstwa domowe</w:t>
            </w:r>
          </w:p>
        </w:tc>
        <w:tc>
          <w:tcPr>
            <w:tcW w:w="654"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854" w:type="dxa"/>
            <w:gridSpan w:val="4"/>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851"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850" w:type="dxa"/>
            <w:gridSpan w:val="4"/>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855"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850"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720"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t>
            </w:r>
          </w:p>
        </w:tc>
        <w:tc>
          <w:tcPr>
            <w:tcW w:w="1411"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pacing w:val="-2"/>
                <w:sz w:val="21"/>
                <w:szCs w:val="21"/>
              </w:rPr>
              <w:t>-</w:t>
            </w:r>
          </w:p>
        </w:tc>
      </w:tr>
      <w:tr w:rsidR="00F749A5" w:rsidRPr="00F749A5" w:rsidTr="00F749A5">
        <w:trPr>
          <w:gridAfter w:val="2"/>
          <w:wAfter w:w="34" w:type="dxa"/>
          <w:trHeight w:val="142"/>
        </w:trPr>
        <w:tc>
          <w:tcPr>
            <w:tcW w:w="1587" w:type="dxa"/>
            <w:vMerge/>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2284" w:type="dxa"/>
            <w:gridSpan w:val="5"/>
            <w:shd w:val="clear" w:color="auto" w:fill="FFFFFF"/>
          </w:tcPr>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00F749A5" w:rsidRPr="00F749A5">
              <w:rPr>
                <w:rFonts w:ascii="Times New Roman" w:eastAsia="Calibri" w:hAnsi="Times New Roman" w:cs="Times New Roman"/>
                <w:color w:val="000000"/>
                <w:sz w:val="21"/>
                <w:szCs w:val="21"/>
              </w:rPr>
              <w:instrText xml:space="preserve"> FORMTEXT </w:instrText>
            </w:r>
            <w:r w:rsidRPr="00F749A5">
              <w:rPr>
                <w:rFonts w:ascii="Times New Roman" w:eastAsia="Calibri" w:hAnsi="Times New Roman" w:cs="Times New Roman"/>
                <w:color w:val="000000"/>
                <w:sz w:val="21"/>
                <w:szCs w:val="21"/>
              </w:rPr>
            </w:r>
            <w:r w:rsidRPr="00F749A5">
              <w:rPr>
                <w:rFonts w:ascii="Times New Roman" w:eastAsia="Calibri" w:hAnsi="Times New Roman" w:cs="Times New Roman"/>
                <w:color w:val="000000"/>
                <w:sz w:val="21"/>
                <w:szCs w:val="21"/>
              </w:rPr>
              <w:fldChar w:fldCharType="separate"/>
            </w:r>
            <w:r w:rsidR="00F749A5" w:rsidRPr="00F749A5">
              <w:rPr>
                <w:rFonts w:ascii="Times New Roman" w:eastAsia="Calibri" w:hAnsi="Times New Roman" w:cs="Times New Roman"/>
                <w:noProof/>
                <w:color w:val="000000"/>
                <w:sz w:val="21"/>
                <w:szCs w:val="21"/>
              </w:rPr>
              <w:t>(dodaj/usuń)</w:t>
            </w:r>
            <w:r w:rsidRPr="00F749A5">
              <w:rPr>
                <w:rFonts w:ascii="Times New Roman" w:eastAsia="Calibri" w:hAnsi="Times New Roman" w:cs="Times New Roman"/>
                <w:color w:val="000000"/>
                <w:sz w:val="21"/>
                <w:szCs w:val="21"/>
              </w:rPr>
              <w:fldChar w:fldCharType="end"/>
            </w:r>
          </w:p>
        </w:tc>
        <w:tc>
          <w:tcPr>
            <w:tcW w:w="654"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4" w:type="dxa"/>
            <w:gridSpan w:val="4"/>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1"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0" w:type="dxa"/>
            <w:gridSpan w:val="4"/>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5"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850" w:type="dxa"/>
            <w:gridSpan w:val="3"/>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720"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z w:val="21"/>
                <w:szCs w:val="21"/>
              </w:rPr>
            </w:pPr>
          </w:p>
        </w:tc>
        <w:tc>
          <w:tcPr>
            <w:tcW w:w="1411" w:type="dxa"/>
            <w:gridSpan w:val="2"/>
            <w:shd w:val="clear" w:color="auto" w:fill="FFFFFF"/>
            <w:vAlign w:val="center"/>
          </w:tcPr>
          <w:p w:rsidR="00F749A5" w:rsidRPr="00F749A5" w:rsidRDefault="00F749A5" w:rsidP="00F749A5">
            <w:pPr>
              <w:spacing w:after="0" w:line="240" w:lineRule="auto"/>
              <w:jc w:val="center"/>
              <w:rPr>
                <w:rFonts w:ascii="Times New Roman" w:eastAsia="Calibri" w:hAnsi="Times New Roman" w:cs="Times New Roman"/>
                <w:color w:val="000000"/>
                <w:spacing w:val="-2"/>
                <w:sz w:val="21"/>
                <w:szCs w:val="21"/>
              </w:rPr>
            </w:pPr>
          </w:p>
        </w:tc>
      </w:tr>
      <w:tr w:rsidR="00F749A5" w:rsidRPr="00F749A5" w:rsidTr="00F749A5">
        <w:trPr>
          <w:gridAfter w:val="2"/>
          <w:wAfter w:w="34" w:type="dxa"/>
          <w:trHeight w:val="142"/>
        </w:trPr>
        <w:tc>
          <w:tcPr>
            <w:tcW w:w="1587" w:type="dxa"/>
            <w:vMerge w:val="restart"/>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W ujęciu niepieniężnym</w:t>
            </w:r>
          </w:p>
        </w:tc>
        <w:tc>
          <w:tcPr>
            <w:tcW w:w="2284" w:type="dxa"/>
            <w:gridSpan w:val="5"/>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duże przedsiębiorstwa</w:t>
            </w:r>
          </w:p>
        </w:tc>
        <w:tc>
          <w:tcPr>
            <w:tcW w:w="7045" w:type="dxa"/>
            <w:gridSpan w:val="23"/>
            <w:shd w:val="clear" w:color="auto" w:fill="FFFFFF"/>
          </w:tcPr>
          <w:p w:rsidR="00F749A5" w:rsidRPr="00F749A5" w:rsidRDefault="00F749A5" w:rsidP="002247E9">
            <w:pPr>
              <w:spacing w:after="0" w:line="240" w:lineRule="auto"/>
              <w:jc w:val="both"/>
              <w:rPr>
                <w:rFonts w:ascii="Times New Roman" w:eastAsia="Calibri" w:hAnsi="Times New Roman" w:cs="Times New Roman"/>
                <w:color w:val="000000"/>
                <w:spacing w:val="-2"/>
                <w:sz w:val="21"/>
                <w:szCs w:val="21"/>
              </w:rPr>
            </w:pPr>
            <w:r w:rsidRPr="00F749A5">
              <w:rPr>
                <w:rFonts w:ascii="Times New Roman" w:eastAsia="Calibri" w:hAnsi="Times New Roman" w:cs="Times New Roman"/>
                <w:spacing w:val="-2"/>
                <w:sz w:val="21"/>
                <w:szCs w:val="21"/>
              </w:rPr>
              <w:t>Poprawa sytuacji w zakresie mobilności na rynku pracy (wzrost zasobów mieszkań na wynajem o umiarkowanym czynszu).</w:t>
            </w:r>
          </w:p>
        </w:tc>
      </w:tr>
      <w:tr w:rsidR="00F749A5" w:rsidRPr="00F749A5" w:rsidTr="00F749A5">
        <w:trPr>
          <w:gridAfter w:val="2"/>
          <w:wAfter w:w="34" w:type="dxa"/>
          <w:trHeight w:val="142"/>
        </w:trPr>
        <w:tc>
          <w:tcPr>
            <w:tcW w:w="1587" w:type="dxa"/>
            <w:vMerge/>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2284" w:type="dxa"/>
            <w:gridSpan w:val="5"/>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sektor mikro-, małych i średnich przedsiębiorstw</w:t>
            </w:r>
          </w:p>
        </w:tc>
        <w:tc>
          <w:tcPr>
            <w:tcW w:w="7045" w:type="dxa"/>
            <w:gridSpan w:val="23"/>
            <w:shd w:val="clear" w:color="auto" w:fill="FFFFFF"/>
          </w:tcPr>
          <w:p w:rsidR="00F749A5" w:rsidRPr="00F749A5" w:rsidRDefault="00F749A5" w:rsidP="002247E9">
            <w:pPr>
              <w:spacing w:after="0" w:line="240" w:lineRule="auto"/>
              <w:jc w:val="both"/>
              <w:rPr>
                <w:rFonts w:ascii="Times New Roman" w:eastAsia="Calibri" w:hAnsi="Times New Roman" w:cs="Times New Roman"/>
                <w:color w:val="000000"/>
                <w:spacing w:val="-2"/>
                <w:sz w:val="21"/>
                <w:szCs w:val="21"/>
              </w:rPr>
            </w:pPr>
            <w:r w:rsidRPr="00F749A5">
              <w:rPr>
                <w:rFonts w:ascii="Times New Roman" w:eastAsia="Calibri" w:hAnsi="Times New Roman" w:cs="Times New Roman"/>
                <w:spacing w:val="-2"/>
                <w:sz w:val="21"/>
                <w:szCs w:val="21"/>
              </w:rPr>
              <w:t>Uzyskanie możliwości kontynuowania nowej działalności inwestycyjnej w zakresie społecznego budownictwa czynszowego, w przypadku gestorów społecznego zasobu mieszkań czynszowych. Poprawa sytuacji w zakresie mobilności na rynku pracy (wzrost zasobów mieszkań na wynajem o umiarkowanym czynszu).</w:t>
            </w:r>
          </w:p>
        </w:tc>
      </w:tr>
      <w:tr w:rsidR="00F749A5" w:rsidRPr="00F749A5" w:rsidTr="00F749A5">
        <w:trPr>
          <w:gridAfter w:val="2"/>
          <w:wAfter w:w="34" w:type="dxa"/>
          <w:trHeight w:val="596"/>
        </w:trPr>
        <w:tc>
          <w:tcPr>
            <w:tcW w:w="1587" w:type="dxa"/>
            <w:vMerge/>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2284" w:type="dxa"/>
            <w:gridSpan w:val="5"/>
            <w:shd w:val="clear" w:color="auto" w:fill="FFFFFF"/>
          </w:tcPr>
          <w:p w:rsidR="00F749A5" w:rsidRPr="00F749A5" w:rsidRDefault="00F749A5" w:rsidP="00F749A5">
            <w:pPr>
              <w:tabs>
                <w:tab w:val="right" w:pos="1936"/>
              </w:tabs>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sz w:val="21"/>
                <w:szCs w:val="21"/>
              </w:rPr>
              <w:t>rodzina, obywatele oraz gospodarstwa domowe</w:t>
            </w:r>
            <w:r w:rsidRPr="00F749A5">
              <w:rPr>
                <w:rFonts w:ascii="Times New Roman" w:eastAsia="Calibri" w:hAnsi="Times New Roman" w:cs="Times New Roman"/>
                <w:color w:val="000000"/>
                <w:sz w:val="21"/>
                <w:szCs w:val="21"/>
              </w:rPr>
              <w:t xml:space="preserve"> </w:t>
            </w:r>
          </w:p>
        </w:tc>
        <w:tc>
          <w:tcPr>
            <w:tcW w:w="7045" w:type="dxa"/>
            <w:gridSpan w:val="23"/>
            <w:shd w:val="clear" w:color="auto" w:fill="FFFFFF"/>
          </w:tcPr>
          <w:p w:rsidR="00F749A5" w:rsidRPr="00F749A5" w:rsidRDefault="00F749A5" w:rsidP="002247E9">
            <w:pPr>
              <w:spacing w:after="0" w:line="240" w:lineRule="auto"/>
              <w:jc w:val="both"/>
              <w:rPr>
                <w:rFonts w:ascii="Times New Roman" w:eastAsia="Calibri" w:hAnsi="Times New Roman" w:cs="Times New Roman"/>
                <w:color w:val="000000"/>
                <w:spacing w:val="-2"/>
                <w:sz w:val="21"/>
                <w:szCs w:val="21"/>
              </w:rPr>
            </w:pPr>
            <w:r w:rsidRPr="00F749A5">
              <w:rPr>
                <w:rFonts w:ascii="Times New Roman" w:eastAsia="Calibri" w:hAnsi="Times New Roman" w:cs="Times New Roman"/>
                <w:spacing w:val="-2"/>
                <w:sz w:val="21"/>
                <w:szCs w:val="21"/>
              </w:rPr>
              <w:t>Nowe możliwości zaspokojenia potrzeb mieszkaniowych w docelowych grupach adresowania programu społecznego budownictwa czynszowego.</w:t>
            </w:r>
          </w:p>
        </w:tc>
      </w:tr>
      <w:tr w:rsidR="00F749A5" w:rsidRPr="00F749A5" w:rsidTr="00F749A5">
        <w:trPr>
          <w:gridAfter w:val="2"/>
          <w:wAfter w:w="34" w:type="dxa"/>
          <w:trHeight w:val="240"/>
        </w:trPr>
        <w:tc>
          <w:tcPr>
            <w:tcW w:w="1587" w:type="dxa"/>
            <w:vMerge/>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2284" w:type="dxa"/>
            <w:gridSpan w:val="5"/>
            <w:shd w:val="clear" w:color="auto" w:fill="FFFFFF"/>
          </w:tcPr>
          <w:p w:rsidR="00F749A5" w:rsidRPr="00F749A5" w:rsidRDefault="00415DA3" w:rsidP="00F749A5">
            <w:pPr>
              <w:tabs>
                <w:tab w:val="right" w:pos="1936"/>
              </w:tabs>
              <w:spacing w:after="0"/>
              <w:rPr>
                <w:rFonts w:ascii="Times New Roman" w:eastAsia="Calibri" w:hAnsi="Times New Roman" w:cs="Times New Roman"/>
                <w:sz w:val="21"/>
                <w:szCs w:val="21"/>
              </w:rPr>
            </w:pPr>
            <w:r w:rsidRPr="00F749A5">
              <w:rPr>
                <w:rFonts w:ascii="Times New Roman" w:eastAsia="Calibri" w:hAnsi="Times New Roman" w:cs="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00F749A5" w:rsidRPr="00F749A5">
              <w:rPr>
                <w:rFonts w:ascii="Times New Roman" w:eastAsia="Calibri" w:hAnsi="Times New Roman" w:cs="Times New Roman"/>
                <w:color w:val="000000"/>
                <w:sz w:val="21"/>
                <w:szCs w:val="21"/>
              </w:rPr>
              <w:instrText xml:space="preserve"> FORMTEXT </w:instrText>
            </w:r>
            <w:r w:rsidRPr="00F749A5">
              <w:rPr>
                <w:rFonts w:ascii="Times New Roman" w:eastAsia="Calibri" w:hAnsi="Times New Roman" w:cs="Times New Roman"/>
                <w:color w:val="000000"/>
                <w:sz w:val="21"/>
                <w:szCs w:val="21"/>
              </w:rPr>
            </w:r>
            <w:r w:rsidRPr="00F749A5">
              <w:rPr>
                <w:rFonts w:ascii="Times New Roman" w:eastAsia="Calibri" w:hAnsi="Times New Roman" w:cs="Times New Roman"/>
                <w:color w:val="000000"/>
                <w:sz w:val="21"/>
                <w:szCs w:val="21"/>
              </w:rPr>
              <w:fldChar w:fldCharType="separate"/>
            </w:r>
            <w:r w:rsidR="00F749A5" w:rsidRPr="00F749A5">
              <w:rPr>
                <w:rFonts w:ascii="Times New Roman" w:eastAsia="Calibri" w:hAnsi="Times New Roman" w:cs="Times New Roman"/>
                <w:noProof/>
                <w:color w:val="000000"/>
                <w:sz w:val="21"/>
                <w:szCs w:val="21"/>
              </w:rPr>
              <w:t>(dodaj/usuń)</w:t>
            </w:r>
            <w:r w:rsidRPr="00F749A5">
              <w:rPr>
                <w:rFonts w:ascii="Times New Roman" w:eastAsia="Calibri" w:hAnsi="Times New Roman" w:cs="Times New Roman"/>
                <w:color w:val="000000"/>
                <w:sz w:val="21"/>
                <w:szCs w:val="21"/>
              </w:rPr>
              <w:fldChar w:fldCharType="end"/>
            </w:r>
          </w:p>
        </w:tc>
        <w:tc>
          <w:tcPr>
            <w:tcW w:w="7045" w:type="dxa"/>
            <w:gridSpan w:val="23"/>
            <w:shd w:val="clear" w:color="auto" w:fill="FFFFFF"/>
          </w:tcPr>
          <w:p w:rsidR="00F749A5" w:rsidRPr="00F749A5" w:rsidRDefault="00F749A5" w:rsidP="00F749A5">
            <w:pPr>
              <w:tabs>
                <w:tab w:val="left" w:pos="3000"/>
              </w:tabs>
              <w:spacing w:after="0"/>
              <w:rPr>
                <w:rFonts w:ascii="Times New Roman" w:eastAsia="Calibri" w:hAnsi="Times New Roman" w:cs="Times New Roman"/>
                <w:color w:val="000000"/>
                <w:spacing w:val="-2"/>
                <w:sz w:val="21"/>
                <w:szCs w:val="21"/>
              </w:rPr>
            </w:pPr>
          </w:p>
        </w:tc>
      </w:tr>
      <w:tr w:rsidR="00F749A5" w:rsidRPr="00F749A5" w:rsidTr="00F749A5">
        <w:trPr>
          <w:gridAfter w:val="2"/>
          <w:wAfter w:w="34" w:type="dxa"/>
          <w:trHeight w:val="142"/>
        </w:trPr>
        <w:tc>
          <w:tcPr>
            <w:tcW w:w="1587" w:type="dxa"/>
            <w:vMerge w:val="restart"/>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Niemierzalne</w:t>
            </w:r>
          </w:p>
        </w:tc>
        <w:tc>
          <w:tcPr>
            <w:tcW w:w="2284" w:type="dxa"/>
            <w:gridSpan w:val="5"/>
            <w:shd w:val="clear" w:color="auto" w:fill="FFFFFF"/>
          </w:tcPr>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00F749A5" w:rsidRPr="00F749A5">
              <w:rPr>
                <w:rFonts w:ascii="Times New Roman" w:eastAsia="Calibri" w:hAnsi="Times New Roman" w:cs="Times New Roman"/>
                <w:color w:val="000000"/>
                <w:sz w:val="21"/>
                <w:szCs w:val="21"/>
              </w:rPr>
              <w:instrText xml:space="preserve"> FORMTEXT </w:instrText>
            </w:r>
            <w:r w:rsidRPr="00F749A5">
              <w:rPr>
                <w:rFonts w:ascii="Times New Roman" w:eastAsia="Calibri" w:hAnsi="Times New Roman" w:cs="Times New Roman"/>
                <w:color w:val="000000"/>
                <w:sz w:val="21"/>
                <w:szCs w:val="21"/>
              </w:rPr>
            </w:r>
            <w:r w:rsidRPr="00F749A5">
              <w:rPr>
                <w:rFonts w:ascii="Times New Roman" w:eastAsia="Calibri" w:hAnsi="Times New Roman" w:cs="Times New Roman"/>
                <w:color w:val="000000"/>
                <w:sz w:val="21"/>
                <w:szCs w:val="21"/>
              </w:rPr>
              <w:fldChar w:fldCharType="separate"/>
            </w:r>
            <w:r w:rsidR="00F749A5" w:rsidRPr="00F749A5">
              <w:rPr>
                <w:rFonts w:ascii="Times New Roman" w:eastAsia="Calibri" w:hAnsi="Times New Roman" w:cs="Times New Roman"/>
                <w:noProof/>
                <w:color w:val="000000"/>
                <w:sz w:val="21"/>
                <w:szCs w:val="21"/>
              </w:rPr>
              <w:t>(dodaj/usuń)</w:t>
            </w:r>
            <w:r w:rsidRPr="00F749A5">
              <w:rPr>
                <w:rFonts w:ascii="Times New Roman" w:eastAsia="Calibri" w:hAnsi="Times New Roman" w:cs="Times New Roman"/>
                <w:color w:val="000000"/>
                <w:sz w:val="21"/>
                <w:szCs w:val="21"/>
              </w:rPr>
              <w:fldChar w:fldCharType="end"/>
            </w:r>
          </w:p>
        </w:tc>
        <w:tc>
          <w:tcPr>
            <w:tcW w:w="7045" w:type="dxa"/>
            <w:gridSpan w:val="23"/>
            <w:shd w:val="clear" w:color="auto" w:fill="FFFFFF"/>
          </w:tcPr>
          <w:p w:rsidR="00F749A5" w:rsidRPr="00F749A5" w:rsidRDefault="00F749A5" w:rsidP="00F749A5">
            <w:pPr>
              <w:spacing w:after="0" w:line="240" w:lineRule="auto"/>
              <w:rPr>
                <w:rFonts w:ascii="Times New Roman" w:eastAsia="Calibri" w:hAnsi="Times New Roman" w:cs="Times New Roman"/>
                <w:color w:val="000000"/>
                <w:spacing w:val="-2"/>
                <w:sz w:val="21"/>
                <w:szCs w:val="21"/>
              </w:rPr>
            </w:pPr>
          </w:p>
        </w:tc>
      </w:tr>
      <w:tr w:rsidR="00F749A5" w:rsidRPr="00F749A5" w:rsidTr="00F749A5">
        <w:trPr>
          <w:gridAfter w:val="2"/>
          <w:wAfter w:w="34" w:type="dxa"/>
          <w:trHeight w:val="142"/>
        </w:trPr>
        <w:tc>
          <w:tcPr>
            <w:tcW w:w="1587" w:type="dxa"/>
            <w:vMerge/>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tc>
        <w:tc>
          <w:tcPr>
            <w:tcW w:w="2284" w:type="dxa"/>
            <w:gridSpan w:val="5"/>
            <w:shd w:val="clear" w:color="auto" w:fill="FFFFFF"/>
          </w:tcPr>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00F749A5" w:rsidRPr="00F749A5">
              <w:rPr>
                <w:rFonts w:ascii="Times New Roman" w:eastAsia="Calibri" w:hAnsi="Times New Roman" w:cs="Times New Roman"/>
                <w:color w:val="000000"/>
                <w:sz w:val="21"/>
                <w:szCs w:val="21"/>
              </w:rPr>
              <w:instrText xml:space="preserve"> FORMTEXT </w:instrText>
            </w:r>
            <w:r w:rsidRPr="00F749A5">
              <w:rPr>
                <w:rFonts w:ascii="Times New Roman" w:eastAsia="Calibri" w:hAnsi="Times New Roman" w:cs="Times New Roman"/>
                <w:color w:val="000000"/>
                <w:sz w:val="21"/>
                <w:szCs w:val="21"/>
              </w:rPr>
            </w:r>
            <w:r w:rsidRPr="00F749A5">
              <w:rPr>
                <w:rFonts w:ascii="Times New Roman" w:eastAsia="Calibri" w:hAnsi="Times New Roman" w:cs="Times New Roman"/>
                <w:color w:val="000000"/>
                <w:sz w:val="21"/>
                <w:szCs w:val="21"/>
              </w:rPr>
              <w:fldChar w:fldCharType="separate"/>
            </w:r>
            <w:r w:rsidR="00F749A5" w:rsidRPr="00F749A5">
              <w:rPr>
                <w:rFonts w:ascii="Times New Roman" w:eastAsia="Calibri" w:hAnsi="Times New Roman" w:cs="Times New Roman"/>
                <w:noProof/>
                <w:color w:val="000000"/>
                <w:sz w:val="21"/>
                <w:szCs w:val="21"/>
              </w:rPr>
              <w:t>(dodaj/usuń)</w:t>
            </w:r>
            <w:r w:rsidRPr="00F749A5">
              <w:rPr>
                <w:rFonts w:ascii="Times New Roman" w:eastAsia="Calibri" w:hAnsi="Times New Roman" w:cs="Times New Roman"/>
                <w:color w:val="000000"/>
                <w:sz w:val="21"/>
                <w:szCs w:val="21"/>
              </w:rPr>
              <w:fldChar w:fldCharType="end"/>
            </w:r>
          </w:p>
        </w:tc>
        <w:tc>
          <w:tcPr>
            <w:tcW w:w="7045" w:type="dxa"/>
            <w:gridSpan w:val="23"/>
            <w:shd w:val="clear" w:color="auto" w:fill="FFFFFF"/>
          </w:tcPr>
          <w:p w:rsidR="00F749A5" w:rsidRPr="00F749A5" w:rsidRDefault="00F749A5" w:rsidP="00F749A5">
            <w:pPr>
              <w:spacing w:after="0" w:line="240" w:lineRule="auto"/>
              <w:rPr>
                <w:rFonts w:ascii="Times New Roman" w:eastAsia="Calibri" w:hAnsi="Times New Roman" w:cs="Times New Roman"/>
                <w:color w:val="000000"/>
                <w:spacing w:val="-2"/>
                <w:sz w:val="21"/>
                <w:szCs w:val="21"/>
              </w:rPr>
            </w:pPr>
          </w:p>
        </w:tc>
      </w:tr>
      <w:tr w:rsidR="00F749A5" w:rsidRPr="00F749A5" w:rsidTr="00F749A5">
        <w:trPr>
          <w:gridAfter w:val="2"/>
          <w:wAfter w:w="34" w:type="dxa"/>
          <w:trHeight w:val="1643"/>
        </w:trPr>
        <w:tc>
          <w:tcPr>
            <w:tcW w:w="2225" w:type="dxa"/>
            <w:gridSpan w:val="3"/>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 xml:space="preserve">Dodatkowe informacje, w tym wskazanie źródeł danych i przyjętych do obliczeń założeń </w:t>
            </w:r>
          </w:p>
        </w:tc>
        <w:tc>
          <w:tcPr>
            <w:tcW w:w="8691" w:type="dxa"/>
            <w:gridSpan w:val="26"/>
            <w:shd w:val="clear" w:color="auto" w:fill="FFFFFF"/>
            <w:vAlign w:val="center"/>
          </w:tcPr>
          <w:p w:rsidR="00F749A5" w:rsidRPr="00F749A5" w:rsidRDefault="00F749A5" w:rsidP="00F749A5">
            <w:pPr>
              <w:spacing w:after="0" w:line="240" w:lineRule="auto"/>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W obliczeniach</w:t>
            </w:r>
            <w:r>
              <w:rPr>
                <w:rFonts w:ascii="Times New Roman" w:eastAsia="Calibri" w:hAnsi="Times New Roman" w:cs="Times New Roman"/>
                <w:sz w:val="21"/>
                <w:szCs w:val="21"/>
              </w:rPr>
              <w:t xml:space="preserve"> </w:t>
            </w:r>
            <w:r w:rsidRPr="00F749A5">
              <w:rPr>
                <w:rFonts w:ascii="Times New Roman" w:eastAsia="Calibri" w:hAnsi="Times New Roman" w:cs="Times New Roman"/>
                <w:sz w:val="21"/>
                <w:szCs w:val="21"/>
              </w:rPr>
              <w:t xml:space="preserve">wykorzystano analizy BGK w zakresie możliwych źródeł akcji kredytowej w ramach programu, kosztów obsługi programu oraz poziomu dotacji umożliwiającej preferencyjne oprocentowanie kredytów oraz pokrycie kosztów związanych z programem. </w:t>
            </w:r>
          </w:p>
          <w:p w:rsidR="00F749A5" w:rsidRPr="00F749A5" w:rsidRDefault="00F749A5" w:rsidP="00F749A5">
            <w:pPr>
              <w:spacing w:after="0" w:line="240" w:lineRule="auto"/>
              <w:jc w:val="both"/>
              <w:rPr>
                <w:rFonts w:ascii="Times New Roman" w:eastAsia="Calibri" w:hAnsi="Times New Roman" w:cs="Times New Roman"/>
                <w:sz w:val="21"/>
                <w:szCs w:val="21"/>
              </w:rPr>
            </w:pPr>
          </w:p>
          <w:p w:rsidR="00F749A5" w:rsidRPr="00F749A5" w:rsidRDefault="00F749A5" w:rsidP="007A6371">
            <w:pPr>
              <w:spacing w:after="0" w:line="240" w:lineRule="auto"/>
              <w:jc w:val="both"/>
              <w:rPr>
                <w:rFonts w:ascii="Times New Roman" w:eastAsia="Calibri" w:hAnsi="Times New Roman" w:cs="Times New Roman"/>
                <w:color w:val="000000"/>
                <w:sz w:val="21"/>
                <w:szCs w:val="21"/>
              </w:rPr>
            </w:pPr>
            <w:r w:rsidRPr="00F749A5">
              <w:rPr>
                <w:rFonts w:ascii="Times New Roman" w:eastAsia="Calibri" w:hAnsi="Times New Roman" w:cs="Times New Roman"/>
                <w:sz w:val="21"/>
                <w:szCs w:val="21"/>
              </w:rPr>
              <w:t xml:space="preserve">Jak wskazano w przypisie nr </w:t>
            </w:r>
            <w:r w:rsidR="007A6371">
              <w:rPr>
                <w:rFonts w:ascii="Times New Roman" w:eastAsia="Calibri" w:hAnsi="Times New Roman" w:cs="Times New Roman"/>
                <w:sz w:val="21"/>
                <w:szCs w:val="21"/>
              </w:rPr>
              <w:t>18</w:t>
            </w:r>
            <w:r w:rsidRPr="00F749A5">
              <w:rPr>
                <w:rFonts w:ascii="Times New Roman" w:eastAsia="Calibri" w:hAnsi="Times New Roman" w:cs="Times New Roman"/>
                <w:sz w:val="21"/>
                <w:szCs w:val="21"/>
              </w:rPr>
              <w:t xml:space="preserve"> do tabeli, kwota 4,5 mld zł określa zakładany wolumen akcji kredytowej w 10-letnim okresie realizacji programu. Bezpośrednią korzyścią dla kredytobiorcy (sektor małych i średnich przedsiębiorstw) stanowiła będzie różnica między oprocentowaniem kredytu udzielanego na warunkach rynkowych i oprocentowaniem kredytu udzielanego na warunkach preferencyjnych.</w:t>
            </w:r>
          </w:p>
        </w:tc>
      </w:tr>
      <w:tr w:rsidR="00F749A5" w:rsidRPr="00F749A5" w:rsidTr="00F749A5">
        <w:trPr>
          <w:gridAfter w:val="2"/>
          <w:wAfter w:w="34" w:type="dxa"/>
          <w:trHeight w:val="342"/>
        </w:trPr>
        <w:tc>
          <w:tcPr>
            <w:tcW w:w="10916" w:type="dxa"/>
            <w:gridSpan w:val="29"/>
            <w:shd w:val="clear" w:color="auto" w:fill="99CCFF"/>
            <w:vAlign w:val="center"/>
          </w:tcPr>
          <w:p w:rsidR="00F749A5" w:rsidRPr="00F749A5" w:rsidRDefault="00F749A5" w:rsidP="00F749A5">
            <w:pPr>
              <w:numPr>
                <w:ilvl w:val="0"/>
                <w:numId w:val="38"/>
              </w:numPr>
              <w:spacing w:before="60" w:after="60" w:line="240" w:lineRule="auto"/>
              <w:ind w:left="318" w:hanging="284"/>
              <w:jc w:val="both"/>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z w:val="21"/>
                <w:szCs w:val="21"/>
              </w:rPr>
              <w:t xml:space="preserve"> Zmiana obciążeń regulacyjnych (w tym obowiązków informacyjnych) wynikających z projektu</w:t>
            </w:r>
          </w:p>
        </w:tc>
      </w:tr>
      <w:tr w:rsidR="00F749A5" w:rsidRPr="00F749A5" w:rsidTr="00F749A5">
        <w:trPr>
          <w:gridAfter w:val="2"/>
          <w:wAfter w:w="34" w:type="dxa"/>
          <w:trHeight w:val="151"/>
        </w:trPr>
        <w:tc>
          <w:tcPr>
            <w:tcW w:w="10916" w:type="dxa"/>
            <w:gridSpan w:val="29"/>
            <w:shd w:val="clear" w:color="auto" w:fill="FFFFFF"/>
          </w:tcPr>
          <w:p w:rsidR="00F749A5" w:rsidRPr="00F749A5" w:rsidRDefault="00F749A5" w:rsidP="00F749A5">
            <w:pPr>
              <w:spacing w:after="0" w:line="240" w:lineRule="auto"/>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z w:val="21"/>
                <w:szCs w:val="21"/>
              </w:rPr>
              <w:t xml:space="preserve">X </w:t>
            </w:r>
            <w:r w:rsidRPr="00F749A5">
              <w:rPr>
                <w:rFonts w:ascii="Times New Roman" w:eastAsia="Calibri" w:hAnsi="Times New Roman" w:cs="Times New Roman"/>
                <w:b/>
                <w:color w:val="000000"/>
                <w:spacing w:val="-2"/>
                <w:sz w:val="21"/>
                <w:szCs w:val="21"/>
              </w:rPr>
              <w:t>nie dotyczy</w:t>
            </w:r>
          </w:p>
        </w:tc>
      </w:tr>
      <w:tr w:rsidR="00F749A5" w:rsidRPr="00F749A5" w:rsidTr="00F749A5">
        <w:trPr>
          <w:gridAfter w:val="2"/>
          <w:wAfter w:w="34" w:type="dxa"/>
          <w:trHeight w:val="946"/>
        </w:trPr>
        <w:tc>
          <w:tcPr>
            <w:tcW w:w="5093" w:type="dxa"/>
            <w:gridSpan w:val="11"/>
            <w:shd w:val="clear" w:color="auto" w:fill="FFFFFF"/>
          </w:tcPr>
          <w:p w:rsidR="00F749A5" w:rsidRPr="00F749A5" w:rsidRDefault="00F749A5" w:rsidP="00F749A5">
            <w:pPr>
              <w:spacing w:after="0"/>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pacing w:val="-2"/>
                <w:sz w:val="21"/>
                <w:szCs w:val="21"/>
              </w:rPr>
              <w:t xml:space="preserve">Wprowadzane są obciążenia poza bezwzględnie wymaganymi przez UE </w:t>
            </w:r>
            <w:r w:rsidRPr="00F749A5">
              <w:rPr>
                <w:rFonts w:ascii="Times New Roman" w:eastAsia="Calibri" w:hAnsi="Times New Roman" w:cs="Times New Roman"/>
                <w:color w:val="000000"/>
                <w:sz w:val="21"/>
                <w:szCs w:val="21"/>
              </w:rPr>
              <w:t>(szczegóły w odwróconej tabeli zgodności).</w:t>
            </w:r>
          </w:p>
        </w:tc>
        <w:tc>
          <w:tcPr>
            <w:tcW w:w="5823" w:type="dxa"/>
            <w:gridSpan w:val="18"/>
            <w:shd w:val="clear" w:color="auto" w:fill="FFFFFF"/>
          </w:tcPr>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tak</w:t>
            </w:r>
          </w:p>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nie</w:t>
            </w:r>
          </w:p>
          <w:p w:rsidR="00F749A5" w:rsidRPr="00F749A5" w:rsidRDefault="00415DA3" w:rsidP="00F749A5">
            <w:pPr>
              <w:spacing w:after="0"/>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nie dotyczy</w:t>
            </w:r>
          </w:p>
        </w:tc>
      </w:tr>
      <w:tr w:rsidR="00F749A5" w:rsidRPr="00F749A5" w:rsidTr="00F749A5">
        <w:trPr>
          <w:gridAfter w:val="2"/>
          <w:wAfter w:w="34" w:type="dxa"/>
          <w:trHeight w:val="1245"/>
        </w:trPr>
        <w:tc>
          <w:tcPr>
            <w:tcW w:w="5093" w:type="dxa"/>
            <w:gridSpan w:val="11"/>
            <w:shd w:val="clear" w:color="auto" w:fill="FFFFFF"/>
          </w:tcPr>
          <w:p w:rsidR="00F749A5" w:rsidRPr="00F749A5" w:rsidRDefault="00415DA3" w:rsidP="00F749A5">
            <w:pPr>
              <w:spacing w:after="0" w:line="240" w:lineRule="auto"/>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 xml:space="preserve">zmniejszenie liczby dokumentów </w:t>
            </w:r>
          </w:p>
          <w:p w:rsidR="00F749A5" w:rsidRPr="00F749A5" w:rsidRDefault="00415DA3" w:rsidP="00F749A5">
            <w:pPr>
              <w:spacing w:after="0" w:line="240" w:lineRule="auto"/>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zmniejszenie liczby procedur</w:t>
            </w:r>
          </w:p>
          <w:p w:rsidR="00F749A5" w:rsidRPr="00F749A5" w:rsidRDefault="00415DA3" w:rsidP="00F749A5">
            <w:pPr>
              <w:spacing w:after="0" w:line="240" w:lineRule="auto"/>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fldChar w:fldCharType="begin">
                <w:ffData>
                  <w:name w:val=""/>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skrócenie czasu na załatwienie sprawy</w:t>
            </w:r>
          </w:p>
          <w:p w:rsidR="00F749A5" w:rsidRPr="00F749A5" w:rsidRDefault="00415DA3" w:rsidP="00F749A5">
            <w:pPr>
              <w:spacing w:after="0"/>
              <w:rPr>
                <w:rFonts w:ascii="Times New Roman" w:eastAsia="Calibri" w:hAnsi="Times New Roman" w:cs="Times New Roman"/>
                <w:b/>
                <w:color w:val="000000"/>
                <w:spacing w:val="-2"/>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inne:</w:t>
            </w:r>
            <w:r w:rsidR="00F749A5" w:rsidRPr="00F749A5">
              <w:rPr>
                <w:rFonts w:ascii="Times New Roman" w:eastAsia="Calibri" w:hAnsi="Times New Roman" w:cs="Times New Roman"/>
                <w:color w:val="000000"/>
                <w:sz w:val="21"/>
                <w:szCs w:val="21"/>
              </w:rPr>
              <w:t xml:space="preserve"> </w:t>
            </w:r>
            <w:r w:rsidRPr="00F749A5">
              <w:rPr>
                <w:rFonts w:ascii="Times New Roman" w:eastAsia="Calibri" w:hAnsi="Times New Roman" w:cs="Times New Roman"/>
                <w:color w:val="000000"/>
                <w:sz w:val="21"/>
                <w:szCs w:val="21"/>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F749A5" w:rsidRPr="00F749A5">
              <w:rPr>
                <w:rFonts w:ascii="Times New Roman" w:eastAsia="Calibri" w:hAnsi="Times New Roman" w:cs="Times New Roman"/>
                <w:color w:val="000000"/>
                <w:sz w:val="21"/>
                <w:szCs w:val="21"/>
              </w:rPr>
              <w:instrText xml:space="preserve"> FORMTEXT </w:instrText>
            </w:r>
            <w:r w:rsidRPr="00F749A5">
              <w:rPr>
                <w:rFonts w:ascii="Times New Roman" w:eastAsia="Calibri" w:hAnsi="Times New Roman" w:cs="Times New Roman"/>
                <w:color w:val="000000"/>
                <w:sz w:val="21"/>
                <w:szCs w:val="21"/>
              </w:rPr>
            </w:r>
            <w:r w:rsidRPr="00F749A5">
              <w:rPr>
                <w:rFonts w:ascii="Times New Roman" w:eastAsia="Calibri" w:hAnsi="Times New Roman" w:cs="Times New Roman"/>
                <w:color w:val="000000"/>
                <w:sz w:val="21"/>
                <w:szCs w:val="21"/>
              </w:rPr>
              <w:fldChar w:fldCharType="separate"/>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Pr="00F749A5">
              <w:rPr>
                <w:rFonts w:ascii="Times New Roman" w:eastAsia="Calibri" w:hAnsi="Times New Roman" w:cs="Times New Roman"/>
                <w:color w:val="000000"/>
                <w:sz w:val="21"/>
                <w:szCs w:val="21"/>
              </w:rPr>
              <w:fldChar w:fldCharType="end"/>
            </w:r>
          </w:p>
        </w:tc>
        <w:tc>
          <w:tcPr>
            <w:tcW w:w="5823" w:type="dxa"/>
            <w:gridSpan w:val="18"/>
            <w:shd w:val="clear" w:color="auto" w:fill="FFFFFF"/>
          </w:tcPr>
          <w:p w:rsidR="00F749A5" w:rsidRPr="00F749A5" w:rsidRDefault="00415DA3" w:rsidP="00F749A5">
            <w:pPr>
              <w:spacing w:after="0" w:line="240" w:lineRule="auto"/>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zwiększenie liczby dokumentów</w:t>
            </w:r>
          </w:p>
          <w:p w:rsidR="00F749A5" w:rsidRPr="00F749A5" w:rsidRDefault="00415DA3" w:rsidP="00F749A5">
            <w:pPr>
              <w:spacing w:after="0" w:line="240" w:lineRule="auto"/>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zwiększenie liczby procedur</w:t>
            </w:r>
          </w:p>
          <w:p w:rsidR="00F749A5" w:rsidRPr="00F749A5" w:rsidRDefault="00415DA3" w:rsidP="00F749A5">
            <w:pPr>
              <w:spacing w:after="0" w:line="240" w:lineRule="auto"/>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wydłużenie czasu na załatwienie sprawy</w:t>
            </w:r>
          </w:p>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inne:</w:t>
            </w:r>
            <w:r w:rsidR="00F749A5" w:rsidRPr="00F749A5">
              <w:rPr>
                <w:rFonts w:ascii="Times New Roman" w:eastAsia="Calibri" w:hAnsi="Times New Roman" w:cs="Times New Roman"/>
                <w:color w:val="000000"/>
                <w:sz w:val="21"/>
                <w:szCs w:val="21"/>
              </w:rPr>
              <w:t xml:space="preserve"> </w:t>
            </w:r>
            <w:r w:rsidRPr="00F749A5">
              <w:rPr>
                <w:rFonts w:ascii="Times New Roman" w:eastAsia="Calibri" w:hAnsi="Times New Roman" w:cs="Times New Roman"/>
                <w:color w:val="000000"/>
                <w:sz w:val="21"/>
                <w:szCs w:val="21"/>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F749A5" w:rsidRPr="00F749A5">
              <w:rPr>
                <w:rFonts w:ascii="Times New Roman" w:eastAsia="Calibri" w:hAnsi="Times New Roman" w:cs="Times New Roman"/>
                <w:color w:val="000000"/>
                <w:sz w:val="21"/>
                <w:szCs w:val="21"/>
              </w:rPr>
              <w:instrText xml:space="preserve"> FORMTEXT </w:instrText>
            </w:r>
            <w:r w:rsidRPr="00F749A5">
              <w:rPr>
                <w:rFonts w:ascii="Times New Roman" w:eastAsia="Calibri" w:hAnsi="Times New Roman" w:cs="Times New Roman"/>
                <w:color w:val="000000"/>
                <w:sz w:val="21"/>
                <w:szCs w:val="21"/>
              </w:rPr>
            </w:r>
            <w:r w:rsidRPr="00F749A5">
              <w:rPr>
                <w:rFonts w:ascii="Times New Roman" w:eastAsia="Calibri" w:hAnsi="Times New Roman" w:cs="Times New Roman"/>
                <w:color w:val="000000"/>
                <w:sz w:val="21"/>
                <w:szCs w:val="21"/>
              </w:rPr>
              <w:fldChar w:fldCharType="separate"/>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Pr="00F749A5">
              <w:rPr>
                <w:rFonts w:ascii="Times New Roman" w:eastAsia="Calibri" w:hAnsi="Times New Roman" w:cs="Times New Roman"/>
                <w:color w:val="000000"/>
                <w:sz w:val="21"/>
                <w:szCs w:val="21"/>
              </w:rPr>
              <w:fldChar w:fldCharType="end"/>
            </w:r>
          </w:p>
        </w:tc>
      </w:tr>
      <w:tr w:rsidR="00F749A5" w:rsidRPr="00F749A5" w:rsidTr="00F749A5">
        <w:trPr>
          <w:gridAfter w:val="2"/>
          <w:wAfter w:w="34" w:type="dxa"/>
          <w:trHeight w:val="870"/>
        </w:trPr>
        <w:tc>
          <w:tcPr>
            <w:tcW w:w="5093" w:type="dxa"/>
            <w:gridSpan w:val="11"/>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pacing w:val="-2"/>
                <w:sz w:val="21"/>
                <w:szCs w:val="21"/>
              </w:rPr>
              <w:t xml:space="preserve">Wprowadzane obciążenia są przystosowane do ich elektronizacji. </w:t>
            </w:r>
          </w:p>
        </w:tc>
        <w:tc>
          <w:tcPr>
            <w:tcW w:w="5823" w:type="dxa"/>
            <w:gridSpan w:val="18"/>
            <w:shd w:val="clear" w:color="auto" w:fill="FFFFFF"/>
          </w:tcPr>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tak</w:t>
            </w:r>
          </w:p>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nie</w:t>
            </w:r>
          </w:p>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nie dotyczy</w:t>
            </w:r>
          </w:p>
        </w:tc>
      </w:tr>
      <w:tr w:rsidR="00F749A5" w:rsidRPr="00F749A5" w:rsidTr="00F749A5">
        <w:trPr>
          <w:gridAfter w:val="2"/>
          <w:wAfter w:w="34" w:type="dxa"/>
          <w:trHeight w:val="630"/>
        </w:trPr>
        <w:tc>
          <w:tcPr>
            <w:tcW w:w="10916" w:type="dxa"/>
            <w:gridSpan w:val="29"/>
            <w:shd w:val="clear" w:color="auto" w:fill="FFFFFF"/>
          </w:tcPr>
          <w:p w:rsidR="00F749A5" w:rsidRPr="00F749A5" w:rsidRDefault="00F749A5" w:rsidP="00F749A5">
            <w:pPr>
              <w:spacing w:after="0" w:line="240" w:lineRule="auto"/>
              <w:jc w:val="both"/>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Komentarz:</w:t>
            </w:r>
          </w:p>
        </w:tc>
      </w:tr>
      <w:tr w:rsidR="00F749A5" w:rsidRPr="00F749A5" w:rsidTr="00F749A5">
        <w:trPr>
          <w:gridAfter w:val="2"/>
          <w:wAfter w:w="34" w:type="dxa"/>
          <w:trHeight w:val="142"/>
        </w:trPr>
        <w:tc>
          <w:tcPr>
            <w:tcW w:w="10916" w:type="dxa"/>
            <w:gridSpan w:val="29"/>
            <w:shd w:val="clear" w:color="auto" w:fill="99CCFF"/>
          </w:tcPr>
          <w:p w:rsidR="00F749A5" w:rsidRPr="00F749A5" w:rsidRDefault="00F749A5" w:rsidP="002247E9">
            <w:pPr>
              <w:keepNext/>
              <w:numPr>
                <w:ilvl w:val="0"/>
                <w:numId w:val="38"/>
              </w:numPr>
              <w:spacing w:before="60" w:after="60" w:line="240" w:lineRule="auto"/>
              <w:jc w:val="both"/>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z w:val="21"/>
                <w:szCs w:val="21"/>
              </w:rPr>
              <w:lastRenderedPageBreak/>
              <w:t xml:space="preserve">Wpływ na rynek pracy </w:t>
            </w:r>
          </w:p>
        </w:tc>
      </w:tr>
      <w:tr w:rsidR="00F749A5" w:rsidRPr="00F749A5" w:rsidTr="00F749A5">
        <w:trPr>
          <w:gridAfter w:val="2"/>
          <w:wAfter w:w="34" w:type="dxa"/>
          <w:trHeight w:val="142"/>
        </w:trPr>
        <w:tc>
          <w:tcPr>
            <w:tcW w:w="10916" w:type="dxa"/>
            <w:gridSpan w:val="29"/>
            <w:shd w:val="clear" w:color="auto" w:fill="auto"/>
          </w:tcPr>
          <w:p w:rsidR="00F749A5" w:rsidRPr="00F749A5" w:rsidRDefault="00F749A5" w:rsidP="002247E9">
            <w:pPr>
              <w:keepNext/>
              <w:spacing w:after="0" w:line="240" w:lineRule="auto"/>
              <w:jc w:val="both"/>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Wzrost zasobów mieszkań na wynajem o umiarkowanym czynszu może pozytywnie oddziaływać na rynek pracy jako czynnik kreujący lepsze warunki d</w:t>
            </w:r>
            <w:r w:rsidR="00A811AE">
              <w:rPr>
                <w:rFonts w:ascii="Times New Roman" w:eastAsia="Calibri" w:hAnsi="Times New Roman" w:cs="Times New Roman"/>
                <w:spacing w:val="-2"/>
                <w:sz w:val="21"/>
                <w:szCs w:val="21"/>
              </w:rPr>
              <w:t>o</w:t>
            </w:r>
            <w:r w:rsidRPr="00F749A5">
              <w:rPr>
                <w:rFonts w:ascii="Times New Roman" w:eastAsia="Calibri" w:hAnsi="Times New Roman" w:cs="Times New Roman"/>
                <w:spacing w:val="-2"/>
                <w:sz w:val="21"/>
                <w:szCs w:val="21"/>
              </w:rPr>
              <w:t xml:space="preserve"> poprawy mobilności pracowników (mieszkanie czynszowe w miejscu lub w pobliżu miejsca zatrudnienia). </w:t>
            </w:r>
          </w:p>
          <w:p w:rsidR="00F749A5" w:rsidRPr="00F749A5" w:rsidRDefault="00F749A5" w:rsidP="002247E9">
            <w:pPr>
              <w:keepNext/>
              <w:spacing w:after="0" w:line="240" w:lineRule="auto"/>
              <w:jc w:val="both"/>
              <w:rPr>
                <w:rFonts w:ascii="Times New Roman" w:eastAsia="Calibri" w:hAnsi="Times New Roman" w:cs="Times New Roman"/>
                <w:color w:val="000000"/>
                <w:sz w:val="21"/>
                <w:szCs w:val="21"/>
              </w:rPr>
            </w:pPr>
            <w:r w:rsidRPr="00F749A5">
              <w:rPr>
                <w:rFonts w:ascii="Times New Roman" w:eastAsia="Calibri" w:hAnsi="Times New Roman" w:cs="Times New Roman"/>
                <w:spacing w:val="-2"/>
                <w:sz w:val="21"/>
                <w:szCs w:val="21"/>
              </w:rPr>
              <w:t>Ponadto uruchomienie</w:t>
            </w:r>
            <w:r>
              <w:rPr>
                <w:rFonts w:ascii="Times New Roman" w:eastAsia="Calibri" w:hAnsi="Times New Roman" w:cs="Times New Roman"/>
                <w:spacing w:val="-2"/>
                <w:sz w:val="21"/>
                <w:szCs w:val="21"/>
              </w:rPr>
              <w:t xml:space="preserve"> </w:t>
            </w:r>
            <w:r w:rsidRPr="00F749A5">
              <w:rPr>
                <w:rFonts w:ascii="Times New Roman" w:eastAsia="Calibri" w:hAnsi="Times New Roman" w:cs="Times New Roman"/>
                <w:spacing w:val="-2"/>
                <w:sz w:val="21"/>
                <w:szCs w:val="21"/>
              </w:rPr>
              <w:t>programu wpłynie na powstanie nowych</w:t>
            </w:r>
            <w:r w:rsidRPr="00F749A5">
              <w:rPr>
                <w:rFonts w:ascii="Times New Roman" w:eastAsia="Calibri" w:hAnsi="Times New Roman" w:cs="Times New Roman"/>
                <w:color w:val="000000"/>
                <w:sz w:val="21"/>
                <w:szCs w:val="21"/>
              </w:rPr>
              <w:t xml:space="preserve"> inwestycji mieszkaniowych. Zależność taka wystąpi bezpośrednio, z uwagi na fakt objęcia programem społecznego budownictwa czynszowego inwestycji nieznajdujących alternatywnych form podaży na rynku mieszkaniowym. Z efektem tym będzie związanych szereg pozytywnych oddziaływań na rynek pracy, takich jak wzrost zatrudnienia w przedsiębiorstwach specjalizujących się w robotach budowlano</w:t>
            </w:r>
            <w:r w:rsidR="00A811AE">
              <w:rPr>
                <w:rFonts w:ascii="Times New Roman" w:eastAsia="Calibri" w:hAnsi="Times New Roman" w:cs="Times New Roman"/>
                <w:color w:val="000000"/>
                <w:sz w:val="21"/>
                <w:szCs w:val="21"/>
              </w:rPr>
              <w:t>-</w:t>
            </w:r>
            <w:r w:rsidR="00A811AE">
              <w:rPr>
                <w:rFonts w:ascii="Times New Roman" w:eastAsia="Calibri" w:hAnsi="Times New Roman" w:cs="Times New Roman"/>
                <w:color w:val="000000"/>
                <w:sz w:val="21"/>
                <w:szCs w:val="21"/>
              </w:rPr>
              <w:br/>
            </w:r>
            <w:r w:rsidRPr="00F749A5">
              <w:rPr>
                <w:rFonts w:ascii="Times New Roman" w:eastAsia="Calibri" w:hAnsi="Times New Roman" w:cs="Times New Roman"/>
                <w:color w:val="000000"/>
                <w:sz w:val="21"/>
                <w:szCs w:val="21"/>
              </w:rPr>
              <w:t xml:space="preserve">-montażowych, produkcji i dystrybucji materiałów budowlanych czy wyposażenia mieszkań. </w:t>
            </w:r>
          </w:p>
        </w:tc>
      </w:tr>
      <w:tr w:rsidR="00F749A5" w:rsidRPr="00F749A5" w:rsidTr="00F749A5">
        <w:trPr>
          <w:gridAfter w:val="2"/>
          <w:wAfter w:w="34" w:type="dxa"/>
          <w:trHeight w:val="142"/>
        </w:trPr>
        <w:tc>
          <w:tcPr>
            <w:tcW w:w="10916" w:type="dxa"/>
            <w:gridSpan w:val="29"/>
            <w:shd w:val="clear" w:color="auto" w:fill="99CCFF"/>
          </w:tcPr>
          <w:p w:rsidR="00F749A5" w:rsidRPr="00F749A5" w:rsidRDefault="00F749A5" w:rsidP="00F749A5">
            <w:pPr>
              <w:numPr>
                <w:ilvl w:val="0"/>
                <w:numId w:val="38"/>
              </w:numPr>
              <w:spacing w:before="60" w:after="60" w:line="240" w:lineRule="auto"/>
              <w:jc w:val="both"/>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z w:val="21"/>
                <w:szCs w:val="21"/>
              </w:rPr>
              <w:t>Wpływ na pozostałe obszary</w:t>
            </w:r>
          </w:p>
        </w:tc>
      </w:tr>
      <w:tr w:rsidR="00F749A5" w:rsidRPr="00F749A5" w:rsidTr="00F749A5">
        <w:trPr>
          <w:gridAfter w:val="2"/>
          <w:wAfter w:w="34" w:type="dxa"/>
          <w:trHeight w:val="1031"/>
        </w:trPr>
        <w:tc>
          <w:tcPr>
            <w:tcW w:w="3533" w:type="dxa"/>
            <w:gridSpan w:val="5"/>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p w:rsidR="00F749A5" w:rsidRPr="00F749A5" w:rsidRDefault="00415DA3" w:rsidP="00F749A5">
            <w:pPr>
              <w:spacing w:after="0" w:line="240" w:lineRule="auto"/>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środowisko naturalne</w:t>
            </w:r>
          </w:p>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sytuacja i rozwój regionalny</w:t>
            </w:r>
          </w:p>
          <w:p w:rsidR="00F749A5" w:rsidRPr="00F749A5" w:rsidRDefault="00415DA3" w:rsidP="00F749A5">
            <w:pPr>
              <w:spacing w:after="0" w:line="240" w:lineRule="auto"/>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 xml:space="preserve">inne: </w:t>
            </w:r>
            <w:r w:rsidRPr="00F749A5">
              <w:rPr>
                <w:rFonts w:ascii="Times New Roman" w:eastAsia="Calibri" w:hAnsi="Times New Roman" w:cs="Times New Roman"/>
                <w:color w:val="000000"/>
                <w:sz w:val="21"/>
                <w:szCs w:val="21"/>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F749A5" w:rsidRPr="00F749A5">
              <w:rPr>
                <w:rFonts w:ascii="Times New Roman" w:eastAsia="Calibri" w:hAnsi="Times New Roman" w:cs="Times New Roman"/>
                <w:color w:val="000000"/>
                <w:sz w:val="21"/>
                <w:szCs w:val="21"/>
              </w:rPr>
              <w:instrText xml:space="preserve"> FORMTEXT </w:instrText>
            </w:r>
            <w:r w:rsidRPr="00F749A5">
              <w:rPr>
                <w:rFonts w:ascii="Times New Roman" w:eastAsia="Calibri" w:hAnsi="Times New Roman" w:cs="Times New Roman"/>
                <w:color w:val="000000"/>
                <w:sz w:val="21"/>
                <w:szCs w:val="21"/>
              </w:rPr>
            </w:r>
            <w:r w:rsidRPr="00F749A5">
              <w:rPr>
                <w:rFonts w:ascii="Times New Roman" w:eastAsia="Calibri" w:hAnsi="Times New Roman" w:cs="Times New Roman"/>
                <w:color w:val="000000"/>
                <w:sz w:val="21"/>
                <w:szCs w:val="21"/>
              </w:rPr>
              <w:fldChar w:fldCharType="separate"/>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00F749A5" w:rsidRPr="00F749A5">
              <w:rPr>
                <w:rFonts w:ascii="Times New Roman" w:eastAsia="Calibri" w:hAnsi="Calibri" w:cs="Times New Roman"/>
                <w:noProof/>
                <w:color w:val="000000"/>
                <w:sz w:val="21"/>
                <w:szCs w:val="21"/>
              </w:rPr>
              <w:t> </w:t>
            </w:r>
            <w:r w:rsidRPr="00F749A5">
              <w:rPr>
                <w:rFonts w:ascii="Times New Roman" w:eastAsia="Calibri" w:hAnsi="Times New Roman" w:cs="Times New Roman"/>
                <w:color w:val="000000"/>
                <w:sz w:val="21"/>
                <w:szCs w:val="21"/>
              </w:rPr>
              <w:fldChar w:fldCharType="end"/>
            </w:r>
          </w:p>
        </w:tc>
        <w:tc>
          <w:tcPr>
            <w:tcW w:w="3687" w:type="dxa"/>
            <w:gridSpan w:val="15"/>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p w:rsidR="00F749A5" w:rsidRPr="00F749A5" w:rsidRDefault="00F749A5" w:rsidP="00F749A5">
            <w:pPr>
              <w:spacing w:after="0" w:line="240" w:lineRule="auto"/>
              <w:rPr>
                <w:rFonts w:ascii="Times New Roman" w:eastAsia="Calibri" w:hAnsi="Times New Roman" w:cs="Times New Roman"/>
                <w:b/>
                <w:color w:val="000000"/>
                <w:spacing w:val="-2"/>
                <w:sz w:val="21"/>
                <w:szCs w:val="21"/>
              </w:rPr>
            </w:pPr>
            <w:r w:rsidRPr="00F749A5">
              <w:rPr>
                <w:rFonts w:ascii="Times New Roman" w:eastAsia="Calibri" w:hAnsi="Times New Roman" w:cs="Times New Roman"/>
                <w:b/>
                <w:color w:val="000000"/>
                <w:sz w:val="21"/>
                <w:szCs w:val="21"/>
              </w:rPr>
              <w:t xml:space="preserve">X </w:t>
            </w:r>
            <w:r w:rsidRPr="00F749A5">
              <w:rPr>
                <w:rFonts w:ascii="Times New Roman" w:eastAsia="Calibri" w:hAnsi="Times New Roman" w:cs="Times New Roman"/>
                <w:b/>
                <w:color w:val="000000"/>
                <w:spacing w:val="-2"/>
                <w:sz w:val="21"/>
                <w:szCs w:val="21"/>
              </w:rPr>
              <w:t>demografia</w:t>
            </w:r>
          </w:p>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mienie państwowe</w:t>
            </w:r>
          </w:p>
        </w:tc>
        <w:tc>
          <w:tcPr>
            <w:tcW w:w="3696" w:type="dxa"/>
            <w:gridSpan w:val="9"/>
            <w:shd w:val="clear" w:color="auto" w:fill="FFFFFF"/>
          </w:tcPr>
          <w:p w:rsidR="00F749A5" w:rsidRPr="00F749A5" w:rsidRDefault="00F749A5" w:rsidP="00F749A5">
            <w:pPr>
              <w:spacing w:after="0" w:line="240" w:lineRule="auto"/>
              <w:rPr>
                <w:rFonts w:ascii="Times New Roman" w:eastAsia="Calibri" w:hAnsi="Times New Roman" w:cs="Times New Roman"/>
                <w:color w:val="000000"/>
                <w:sz w:val="21"/>
                <w:szCs w:val="21"/>
              </w:rPr>
            </w:pPr>
          </w:p>
          <w:p w:rsidR="00F749A5" w:rsidRPr="00F749A5" w:rsidRDefault="00415DA3" w:rsidP="00F749A5">
            <w:pPr>
              <w:spacing w:after="0" w:line="240" w:lineRule="auto"/>
              <w:rPr>
                <w:rFonts w:ascii="Times New Roman" w:eastAsia="Calibri" w:hAnsi="Times New Roman" w:cs="Times New Roman"/>
                <w:color w:val="000000"/>
                <w:spacing w:val="-2"/>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informatyzacja</w:t>
            </w:r>
          </w:p>
          <w:p w:rsidR="00F749A5" w:rsidRPr="00F749A5" w:rsidRDefault="00415DA3"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fldChar w:fldCharType="begin">
                <w:ffData>
                  <w:name w:val="Wybór1"/>
                  <w:enabled/>
                  <w:calcOnExit w:val="0"/>
                  <w:checkBox>
                    <w:sizeAuto/>
                    <w:default w:val="0"/>
                  </w:checkBox>
                </w:ffData>
              </w:fldChar>
            </w:r>
            <w:r w:rsidR="00F749A5" w:rsidRPr="00F749A5">
              <w:rPr>
                <w:rFonts w:ascii="Times New Roman" w:eastAsia="Calibri" w:hAnsi="Times New Roman" w:cs="Times New Roman"/>
                <w:color w:val="000000"/>
                <w:sz w:val="21"/>
                <w:szCs w:val="21"/>
              </w:rPr>
              <w:instrText xml:space="preserve"> FORMCHECKBOX </w:instrText>
            </w:r>
            <w:r w:rsidR="003367F9">
              <w:rPr>
                <w:rFonts w:ascii="Times New Roman" w:eastAsia="Calibri" w:hAnsi="Times New Roman" w:cs="Times New Roman"/>
                <w:color w:val="000000"/>
                <w:sz w:val="21"/>
                <w:szCs w:val="21"/>
              </w:rPr>
            </w:r>
            <w:r w:rsidR="003367F9">
              <w:rPr>
                <w:rFonts w:ascii="Times New Roman" w:eastAsia="Calibri" w:hAnsi="Times New Roman" w:cs="Times New Roman"/>
                <w:color w:val="000000"/>
                <w:sz w:val="21"/>
                <w:szCs w:val="21"/>
              </w:rPr>
              <w:fldChar w:fldCharType="separate"/>
            </w:r>
            <w:r w:rsidRPr="00F749A5">
              <w:rPr>
                <w:rFonts w:ascii="Times New Roman" w:eastAsia="Calibri" w:hAnsi="Times New Roman" w:cs="Times New Roman"/>
                <w:color w:val="000000"/>
                <w:sz w:val="21"/>
                <w:szCs w:val="21"/>
              </w:rPr>
              <w:fldChar w:fldCharType="end"/>
            </w:r>
            <w:r w:rsidR="00F749A5" w:rsidRPr="00F749A5">
              <w:rPr>
                <w:rFonts w:ascii="Times New Roman" w:eastAsia="Calibri" w:hAnsi="Times New Roman" w:cs="Times New Roman"/>
                <w:color w:val="000000"/>
                <w:sz w:val="21"/>
                <w:szCs w:val="21"/>
              </w:rPr>
              <w:t xml:space="preserve"> </w:t>
            </w:r>
            <w:r w:rsidR="00F749A5" w:rsidRPr="00F749A5">
              <w:rPr>
                <w:rFonts w:ascii="Times New Roman" w:eastAsia="Calibri" w:hAnsi="Times New Roman" w:cs="Times New Roman"/>
                <w:color w:val="000000"/>
                <w:spacing w:val="-2"/>
                <w:sz w:val="21"/>
                <w:szCs w:val="21"/>
              </w:rPr>
              <w:t>zdrowie</w:t>
            </w:r>
          </w:p>
        </w:tc>
      </w:tr>
      <w:tr w:rsidR="00F749A5" w:rsidRPr="00F749A5" w:rsidTr="00F749A5">
        <w:trPr>
          <w:gridAfter w:val="2"/>
          <w:wAfter w:w="34" w:type="dxa"/>
          <w:trHeight w:val="712"/>
        </w:trPr>
        <w:tc>
          <w:tcPr>
            <w:tcW w:w="2225" w:type="dxa"/>
            <w:gridSpan w:val="3"/>
            <w:shd w:val="clear" w:color="auto" w:fill="FFFFFF"/>
            <w:vAlign w:val="center"/>
          </w:tcPr>
          <w:p w:rsidR="00F749A5" w:rsidRPr="00F749A5" w:rsidRDefault="00F749A5" w:rsidP="00F749A5">
            <w:pPr>
              <w:spacing w:after="0" w:line="240" w:lineRule="auto"/>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Omówienie wpływu</w:t>
            </w:r>
          </w:p>
        </w:tc>
        <w:tc>
          <w:tcPr>
            <w:tcW w:w="8691" w:type="dxa"/>
            <w:gridSpan w:val="26"/>
            <w:shd w:val="clear" w:color="auto" w:fill="FFFFFF"/>
            <w:vAlign w:val="center"/>
          </w:tcPr>
          <w:p w:rsidR="00F749A5" w:rsidRPr="00F749A5" w:rsidRDefault="00F749A5" w:rsidP="00F749A5">
            <w:pPr>
              <w:spacing w:after="0" w:line="240" w:lineRule="auto"/>
              <w:jc w:val="both"/>
              <w:rPr>
                <w:rFonts w:ascii="Times New Roman" w:eastAsia="Calibri" w:hAnsi="Times New Roman" w:cs="Times New Roman"/>
                <w:color w:val="000000"/>
                <w:sz w:val="21"/>
                <w:szCs w:val="21"/>
              </w:rPr>
            </w:pPr>
            <w:r w:rsidRPr="00F749A5">
              <w:rPr>
                <w:rFonts w:ascii="Times New Roman" w:eastAsia="Calibri" w:hAnsi="Times New Roman" w:cs="Times New Roman"/>
                <w:color w:val="000000"/>
                <w:sz w:val="21"/>
                <w:szCs w:val="21"/>
              </w:rPr>
              <w:t>Efekty projektowanej regulacji mogą pozytywnie oddziaływać na podejmowanie decyzji o założeniu lub rozwoju rodziny – finansowane w ramach nowego programu mieszkania społeczne czynszowe będą kierowane do gospodarstw domowych, w szczególności rodzin, które uzyskują zbyt wysokie dochody, aby móc ubiegać się o lokal komunalny, a</w:t>
            </w:r>
            <w:r>
              <w:rPr>
                <w:rFonts w:ascii="Times New Roman" w:eastAsia="Calibri" w:hAnsi="Times New Roman" w:cs="Times New Roman"/>
                <w:color w:val="000000"/>
                <w:sz w:val="21"/>
                <w:szCs w:val="21"/>
              </w:rPr>
              <w:t xml:space="preserve"> </w:t>
            </w:r>
            <w:r w:rsidRPr="00F749A5">
              <w:rPr>
                <w:rFonts w:ascii="Times New Roman" w:eastAsia="Calibri" w:hAnsi="Times New Roman" w:cs="Times New Roman"/>
                <w:color w:val="000000"/>
                <w:sz w:val="21"/>
                <w:szCs w:val="21"/>
              </w:rPr>
              <w:t>jednocześnie zbyt niskie, aby uzyskać możliwość zaciągnięcia kredytu na zakup mieszkania na własność, nawet przy wykorzystaniu programu „Mieszkanie dla młodych”. Ponadto zakłada, że wnioski o preferencyjny kredyt będą podlegały ocenie BGK przeprowadzonej w oparciu o zestaw kryteriów uwzględniających istotne aspekty dotyczące samego przedsięwzięcia – w dostępie do finansowania premiowane będą projekty adresowane w większym zakresie do</w:t>
            </w:r>
            <w:r>
              <w:rPr>
                <w:rFonts w:ascii="Times New Roman" w:eastAsia="Calibri" w:hAnsi="Times New Roman" w:cs="Times New Roman"/>
                <w:color w:val="000000"/>
                <w:sz w:val="21"/>
                <w:szCs w:val="21"/>
              </w:rPr>
              <w:t xml:space="preserve"> </w:t>
            </w:r>
            <w:r w:rsidRPr="00F749A5">
              <w:rPr>
                <w:rFonts w:ascii="Times New Roman" w:eastAsia="Calibri" w:hAnsi="Times New Roman" w:cs="Times New Roman"/>
                <w:color w:val="000000"/>
                <w:sz w:val="21"/>
                <w:szCs w:val="21"/>
              </w:rPr>
              <w:t>rodzin z dziećmi.</w:t>
            </w:r>
          </w:p>
          <w:p w:rsidR="00F749A5" w:rsidRPr="00F749A5" w:rsidRDefault="00F749A5" w:rsidP="00F749A5">
            <w:pPr>
              <w:spacing w:after="0" w:line="240" w:lineRule="auto"/>
              <w:jc w:val="both"/>
              <w:rPr>
                <w:rFonts w:ascii="Times New Roman" w:eastAsia="Calibri" w:hAnsi="Times New Roman" w:cs="Times New Roman"/>
                <w:color w:val="000000"/>
                <w:sz w:val="21"/>
                <w:szCs w:val="21"/>
              </w:rPr>
            </w:pPr>
          </w:p>
        </w:tc>
      </w:tr>
      <w:tr w:rsidR="00F749A5" w:rsidRPr="00F749A5" w:rsidTr="00F749A5">
        <w:trPr>
          <w:gridAfter w:val="2"/>
          <w:wAfter w:w="34" w:type="dxa"/>
          <w:trHeight w:val="142"/>
        </w:trPr>
        <w:tc>
          <w:tcPr>
            <w:tcW w:w="10916" w:type="dxa"/>
            <w:gridSpan w:val="29"/>
            <w:shd w:val="clear" w:color="auto" w:fill="99CCFF"/>
          </w:tcPr>
          <w:p w:rsidR="00F749A5" w:rsidRPr="00F749A5" w:rsidRDefault="002247E9" w:rsidP="00F749A5">
            <w:pPr>
              <w:numPr>
                <w:ilvl w:val="0"/>
                <w:numId w:val="38"/>
              </w:numPr>
              <w:spacing w:before="60" w:after="60" w:line="240" w:lineRule="auto"/>
              <w:ind w:left="318" w:hanging="284"/>
              <w:jc w:val="both"/>
              <w:rPr>
                <w:rFonts w:ascii="Times New Roman" w:eastAsia="Calibri" w:hAnsi="Times New Roman" w:cs="Times New Roman"/>
                <w:b/>
              </w:rPr>
            </w:pPr>
            <w:r>
              <w:rPr>
                <w:rFonts w:ascii="Times New Roman" w:eastAsia="Calibri" w:hAnsi="Times New Roman" w:cs="Times New Roman"/>
                <w:b/>
                <w:spacing w:val="-2"/>
                <w:sz w:val="21"/>
                <w:szCs w:val="21"/>
              </w:rPr>
              <w:t xml:space="preserve"> </w:t>
            </w:r>
            <w:r w:rsidR="00F749A5" w:rsidRPr="00F749A5">
              <w:rPr>
                <w:rFonts w:ascii="Times New Roman" w:eastAsia="Calibri" w:hAnsi="Times New Roman" w:cs="Times New Roman"/>
                <w:b/>
                <w:spacing w:val="-2"/>
                <w:sz w:val="21"/>
                <w:szCs w:val="21"/>
              </w:rPr>
              <w:t>Planowane wykonanie przepisów aktu prawnego</w:t>
            </w:r>
          </w:p>
        </w:tc>
      </w:tr>
      <w:tr w:rsidR="00F749A5" w:rsidRPr="00F749A5" w:rsidTr="00F749A5">
        <w:trPr>
          <w:gridAfter w:val="2"/>
          <w:wAfter w:w="34" w:type="dxa"/>
          <w:trHeight w:val="2543"/>
        </w:trPr>
        <w:tc>
          <w:tcPr>
            <w:tcW w:w="10916" w:type="dxa"/>
            <w:gridSpan w:val="29"/>
            <w:shd w:val="clear" w:color="auto" w:fill="FFFFFF"/>
          </w:tcPr>
          <w:p w:rsidR="00F749A5" w:rsidRPr="00F749A5" w:rsidRDefault="00F749A5" w:rsidP="00F749A5">
            <w:pPr>
              <w:spacing w:after="0" w:line="240" w:lineRule="auto"/>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 xml:space="preserve">Planuje się, że proponowane rozwiązania wejdą w życie w III kw. 2015 r. </w:t>
            </w:r>
          </w:p>
          <w:p w:rsidR="00F749A5" w:rsidRPr="00F749A5" w:rsidRDefault="00F749A5" w:rsidP="00F749A5">
            <w:pPr>
              <w:spacing w:after="0" w:line="240" w:lineRule="auto"/>
              <w:jc w:val="both"/>
              <w:rPr>
                <w:rFonts w:ascii="Times New Roman" w:eastAsia="Calibri" w:hAnsi="Times New Roman" w:cs="Times New Roman"/>
                <w:sz w:val="21"/>
                <w:szCs w:val="21"/>
              </w:rPr>
            </w:pPr>
          </w:p>
          <w:p w:rsidR="00F749A5" w:rsidRPr="00F749A5" w:rsidRDefault="00F749A5" w:rsidP="00F749A5">
            <w:pPr>
              <w:spacing w:after="0" w:line="240" w:lineRule="auto"/>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Jak wskazano obszernie w uzasadnieniu do projektu ustawy, zasadniczym celem regulacji będzie realizacja nowego rządowego programu wsparcia społecznego budownictwa czynszowego. W tym zakresie przewiduje się uruchomienie naboru wniosków kwalifikacyjnych przez BGK w IV kw. 2015 r. W kolejnych latach nabór wniosków będzie powtarzany w każdym roku realizacji programu. Pierwsze efekty rzeczowe realizacji programu, w postaci mieszkań oddanych do użytkowania, pojawią się najwcześniej w 2017 r. W każdym roku realizacji programu BGK będzie podpisywać umowy kredytowe, które pozwolą na sfinansowanie budowy co najmniej 3 tysięcy mieszkań. W związku z tym w całym okresie realizacji programu powinna być zakontraktowana budowa co najmniej 30 tysięcy mieszkań. Należy jednak podkreślić, że docelowy efekt rzeczowy (co najmniej 30 tysięcy mieszkań oddanych do użytkowania) może zostać osiągnięty w 2026 r.</w:t>
            </w:r>
          </w:p>
        </w:tc>
      </w:tr>
      <w:tr w:rsidR="00F749A5" w:rsidRPr="00F749A5" w:rsidTr="00F749A5">
        <w:trPr>
          <w:gridAfter w:val="2"/>
          <w:wAfter w:w="34" w:type="dxa"/>
          <w:trHeight w:val="142"/>
        </w:trPr>
        <w:tc>
          <w:tcPr>
            <w:tcW w:w="10916" w:type="dxa"/>
            <w:gridSpan w:val="29"/>
            <w:shd w:val="clear" w:color="auto" w:fill="99CCFF"/>
          </w:tcPr>
          <w:p w:rsidR="00F749A5" w:rsidRPr="00F749A5" w:rsidRDefault="00F749A5" w:rsidP="00F749A5">
            <w:pPr>
              <w:numPr>
                <w:ilvl w:val="0"/>
                <w:numId w:val="38"/>
              </w:numPr>
              <w:spacing w:before="60" w:after="60" w:line="240" w:lineRule="auto"/>
              <w:ind w:left="318" w:hanging="284"/>
              <w:jc w:val="both"/>
              <w:rPr>
                <w:rFonts w:ascii="Times New Roman" w:eastAsia="Calibri" w:hAnsi="Times New Roman" w:cs="Times New Roman"/>
                <w:b/>
                <w:color w:val="000000"/>
                <w:sz w:val="21"/>
                <w:szCs w:val="21"/>
              </w:rPr>
            </w:pPr>
            <w:r w:rsidRPr="00F749A5">
              <w:rPr>
                <w:rFonts w:ascii="Times New Roman" w:eastAsia="Calibri" w:hAnsi="Times New Roman" w:cs="Times New Roman"/>
                <w:b/>
                <w:color w:val="000000"/>
                <w:sz w:val="21"/>
                <w:szCs w:val="21"/>
              </w:rPr>
              <w:t xml:space="preserve"> </w:t>
            </w:r>
            <w:r w:rsidRPr="00F749A5">
              <w:rPr>
                <w:rFonts w:ascii="Times New Roman" w:eastAsia="Calibri" w:hAnsi="Times New Roman" w:cs="Times New Roman"/>
                <w:b/>
                <w:spacing w:val="-2"/>
                <w:sz w:val="21"/>
                <w:szCs w:val="21"/>
              </w:rPr>
              <w:t>W jaki sposób i kiedy nastąpi ewaluacja efektów projektu oraz jakie mierniki zostaną zastosowane?</w:t>
            </w:r>
          </w:p>
        </w:tc>
      </w:tr>
      <w:tr w:rsidR="00F749A5" w:rsidRPr="00F749A5" w:rsidTr="00F749A5">
        <w:trPr>
          <w:gridAfter w:val="2"/>
          <w:wAfter w:w="34" w:type="dxa"/>
          <w:trHeight w:val="142"/>
        </w:trPr>
        <w:tc>
          <w:tcPr>
            <w:tcW w:w="10916" w:type="dxa"/>
            <w:gridSpan w:val="29"/>
            <w:shd w:val="clear" w:color="auto" w:fill="FFFFFF"/>
          </w:tcPr>
          <w:p w:rsidR="00F749A5" w:rsidRPr="00F749A5" w:rsidRDefault="00F749A5" w:rsidP="00F749A5">
            <w:pPr>
              <w:spacing w:after="0" w:line="240" w:lineRule="auto"/>
              <w:jc w:val="both"/>
              <w:rPr>
                <w:rFonts w:ascii="Times New Roman" w:eastAsia="Calibri" w:hAnsi="Times New Roman" w:cs="Times New Roman"/>
                <w:sz w:val="21"/>
                <w:szCs w:val="21"/>
              </w:rPr>
            </w:pPr>
            <w:r w:rsidRPr="00F749A5">
              <w:rPr>
                <w:rFonts w:ascii="Times New Roman" w:eastAsia="Calibri" w:hAnsi="Times New Roman" w:cs="Times New Roman"/>
                <w:sz w:val="21"/>
                <w:szCs w:val="21"/>
              </w:rPr>
              <w:t>Zakłada się, że podstawowymi wskaźnikami ewaluacji programu będą mierniki oceny efektów rzeczowych (liczba finansowanych mieszkań) oraz – w ramach oceny efektywności instrumentu wspierającego rodzinę – wskaźnik odzwierciedlający udział lokali mieszkalnych</w:t>
            </w:r>
            <w:r w:rsidR="00A811AE">
              <w:rPr>
                <w:rFonts w:ascii="Times New Roman" w:eastAsia="Calibri" w:hAnsi="Times New Roman" w:cs="Times New Roman"/>
                <w:sz w:val="21"/>
                <w:szCs w:val="21"/>
              </w:rPr>
              <w:t>,</w:t>
            </w:r>
            <w:r w:rsidRPr="00F749A5">
              <w:rPr>
                <w:rFonts w:ascii="Times New Roman" w:eastAsia="Calibri" w:hAnsi="Times New Roman" w:cs="Times New Roman"/>
                <w:sz w:val="21"/>
                <w:szCs w:val="21"/>
              </w:rPr>
              <w:t xml:space="preserve"> które po wybudowaniu są wynajmowane rodzinom z dziećmi</w:t>
            </w:r>
            <w:r w:rsidR="00A811AE">
              <w:rPr>
                <w:rFonts w:ascii="Times New Roman" w:eastAsia="Calibri" w:hAnsi="Times New Roman" w:cs="Times New Roman"/>
                <w:sz w:val="21"/>
                <w:szCs w:val="21"/>
              </w:rPr>
              <w:t>,</w:t>
            </w:r>
            <w:r w:rsidRPr="00F749A5">
              <w:rPr>
                <w:rFonts w:ascii="Times New Roman" w:eastAsia="Calibri" w:hAnsi="Times New Roman" w:cs="Times New Roman"/>
                <w:sz w:val="21"/>
                <w:szCs w:val="21"/>
              </w:rPr>
              <w:t xml:space="preserve"> w łącznej liczbie mieszkań czynszowych objęty programem wsparcia (informacja gromadzona operacyjnie przez BGK w oparciu o dane inwestorów). </w:t>
            </w:r>
          </w:p>
          <w:p w:rsidR="00F749A5" w:rsidRPr="00F749A5" w:rsidRDefault="00F749A5" w:rsidP="00F749A5">
            <w:pPr>
              <w:spacing w:after="0" w:line="240" w:lineRule="auto"/>
              <w:jc w:val="both"/>
              <w:rPr>
                <w:rFonts w:ascii="Times New Roman" w:eastAsia="Calibri" w:hAnsi="Times New Roman" w:cs="Times New Roman"/>
                <w:sz w:val="21"/>
                <w:szCs w:val="21"/>
              </w:rPr>
            </w:pPr>
          </w:p>
          <w:p w:rsidR="00F749A5" w:rsidRPr="00F749A5" w:rsidRDefault="00F749A5" w:rsidP="00F749A5">
            <w:pPr>
              <w:spacing w:after="0" w:line="240" w:lineRule="auto"/>
              <w:jc w:val="both"/>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Efekty programu będą monitorowane przy wykorzystaniu narz</w:t>
            </w:r>
            <w:r w:rsidR="00A811AE">
              <w:rPr>
                <w:rFonts w:ascii="Times New Roman" w:eastAsia="Calibri" w:hAnsi="Times New Roman" w:cs="Times New Roman"/>
                <w:spacing w:val="-2"/>
                <w:sz w:val="21"/>
                <w:szCs w:val="21"/>
              </w:rPr>
              <w:t>ę</w:t>
            </w:r>
            <w:r w:rsidRPr="00F749A5">
              <w:rPr>
                <w:rFonts w:ascii="Times New Roman" w:eastAsia="Calibri" w:hAnsi="Times New Roman" w:cs="Times New Roman"/>
                <w:spacing w:val="-2"/>
                <w:sz w:val="21"/>
                <w:szCs w:val="21"/>
              </w:rPr>
              <w:t xml:space="preserve">dzi sprawozdawczych i analitycznych związanych z realizacją przez BGK programów wsparcia mieszkalnictwa finansowanych w oparciu o środki dedykowanych funduszy, w tym Funduszu Dopłat. </w:t>
            </w:r>
          </w:p>
          <w:p w:rsidR="00F749A5" w:rsidRPr="00F749A5" w:rsidRDefault="00F749A5" w:rsidP="00F749A5">
            <w:pPr>
              <w:spacing w:after="0" w:line="240" w:lineRule="auto"/>
              <w:jc w:val="both"/>
              <w:rPr>
                <w:rFonts w:ascii="Times New Roman" w:eastAsia="Calibri" w:hAnsi="Times New Roman" w:cs="Times New Roman"/>
                <w:spacing w:val="-2"/>
                <w:sz w:val="21"/>
                <w:szCs w:val="21"/>
              </w:rPr>
            </w:pPr>
          </w:p>
          <w:p w:rsidR="00F749A5" w:rsidRPr="00F749A5" w:rsidRDefault="00F749A5" w:rsidP="00F749A5">
            <w:pPr>
              <w:spacing w:after="0" w:line="240" w:lineRule="auto"/>
              <w:jc w:val="both"/>
              <w:rPr>
                <w:rFonts w:ascii="Times New Roman" w:eastAsia="Calibri" w:hAnsi="Times New Roman" w:cs="Times New Roman"/>
                <w:spacing w:val="-2"/>
                <w:sz w:val="21"/>
                <w:szCs w:val="21"/>
              </w:rPr>
            </w:pPr>
            <w:r w:rsidRPr="00F749A5">
              <w:rPr>
                <w:rFonts w:ascii="Times New Roman" w:eastAsia="Calibri" w:hAnsi="Times New Roman" w:cs="Times New Roman"/>
                <w:spacing w:val="-2"/>
                <w:sz w:val="21"/>
                <w:szCs w:val="21"/>
              </w:rPr>
              <w:t xml:space="preserve">Podstawowym okresem oceny będzie roczna edycja programu. Zakłada się, że </w:t>
            </w:r>
            <w:r w:rsidRPr="00F749A5">
              <w:rPr>
                <w:rFonts w:ascii="Times New Roman" w:eastAsia="Calibri" w:hAnsi="Times New Roman" w:cs="Times New Roman"/>
                <w:sz w:val="21"/>
                <w:szCs w:val="21"/>
              </w:rPr>
              <w:t xml:space="preserve">minister właściwy do spraw budownictwa, lokalnego planowania i zagospodarowania przestrzennego oraz mieszkalnictwa, w terminie do dnia 31 marca każdego roku, począwszy od 2017 r., będzie składać Radzie Ministrów sprawozdanie z realizacji rządowego programu popierania budownictwa mieszkaniowego wraz z oceną wdrażania i rekomendacjami na kolejny rok. </w:t>
            </w:r>
            <w:r w:rsidRPr="00F749A5">
              <w:rPr>
                <w:rFonts w:ascii="Times New Roman" w:eastAsia="Calibri" w:hAnsi="Times New Roman" w:cs="Times New Roman"/>
                <w:spacing w:val="-2"/>
                <w:sz w:val="21"/>
                <w:szCs w:val="21"/>
              </w:rPr>
              <w:t xml:space="preserve">Po zakończeniu programu przeprowadzona zostanie ewaluacja </w:t>
            </w:r>
            <w:r w:rsidRPr="00D15C66">
              <w:rPr>
                <w:rFonts w:ascii="Times New Roman" w:eastAsia="Calibri" w:hAnsi="Times New Roman" w:cs="Times New Roman"/>
                <w:i/>
                <w:spacing w:val="-2"/>
                <w:sz w:val="21"/>
                <w:szCs w:val="21"/>
              </w:rPr>
              <w:t>ex post</w:t>
            </w:r>
            <w:r w:rsidRPr="00F749A5">
              <w:rPr>
                <w:rFonts w:ascii="Times New Roman" w:eastAsia="Calibri" w:hAnsi="Times New Roman" w:cs="Times New Roman"/>
                <w:spacing w:val="-2"/>
                <w:sz w:val="21"/>
                <w:szCs w:val="21"/>
              </w:rPr>
              <w:t xml:space="preserve"> – zakłada się, że po okresie realizacji 10-letniego pilotażu wnioski zostaną wykorzystane przy określeniu nowego instrumentu wsparcia.</w:t>
            </w:r>
          </w:p>
          <w:p w:rsidR="00F749A5" w:rsidRPr="00F749A5" w:rsidRDefault="00F749A5" w:rsidP="00F749A5">
            <w:pPr>
              <w:spacing w:after="0" w:line="240" w:lineRule="auto"/>
              <w:jc w:val="both"/>
              <w:rPr>
                <w:rFonts w:ascii="Times New Roman" w:eastAsia="Calibri" w:hAnsi="Times New Roman" w:cs="Times New Roman"/>
                <w:spacing w:val="-2"/>
                <w:sz w:val="21"/>
                <w:szCs w:val="21"/>
              </w:rPr>
            </w:pPr>
          </w:p>
        </w:tc>
      </w:tr>
      <w:tr w:rsidR="00F749A5" w:rsidRPr="00F749A5" w:rsidTr="00F749A5">
        <w:trPr>
          <w:gridAfter w:val="2"/>
          <w:wAfter w:w="34" w:type="dxa"/>
          <w:trHeight w:val="142"/>
        </w:trPr>
        <w:tc>
          <w:tcPr>
            <w:tcW w:w="10916" w:type="dxa"/>
            <w:gridSpan w:val="29"/>
            <w:shd w:val="clear" w:color="auto" w:fill="99CCFF"/>
          </w:tcPr>
          <w:p w:rsidR="00F749A5" w:rsidRPr="00F749A5" w:rsidRDefault="002247E9" w:rsidP="00F749A5">
            <w:pPr>
              <w:numPr>
                <w:ilvl w:val="0"/>
                <w:numId w:val="38"/>
              </w:numPr>
              <w:spacing w:before="60" w:after="60" w:line="240" w:lineRule="auto"/>
              <w:ind w:left="318" w:hanging="284"/>
              <w:jc w:val="both"/>
              <w:rPr>
                <w:rFonts w:ascii="Times New Roman" w:eastAsia="Calibri" w:hAnsi="Times New Roman" w:cs="Times New Roman"/>
                <w:b/>
                <w:color w:val="000000"/>
                <w:spacing w:val="-2"/>
                <w:sz w:val="21"/>
                <w:szCs w:val="21"/>
              </w:rPr>
            </w:pPr>
            <w:r>
              <w:rPr>
                <w:rFonts w:ascii="Times New Roman" w:eastAsia="Calibri" w:hAnsi="Times New Roman" w:cs="Times New Roman"/>
                <w:b/>
                <w:color w:val="000000"/>
                <w:spacing w:val="-2"/>
                <w:sz w:val="21"/>
                <w:szCs w:val="21"/>
              </w:rPr>
              <w:t xml:space="preserve"> </w:t>
            </w:r>
            <w:r w:rsidR="00F749A5" w:rsidRPr="00F749A5">
              <w:rPr>
                <w:rFonts w:ascii="Times New Roman" w:eastAsia="Calibri" w:hAnsi="Times New Roman" w:cs="Times New Roman"/>
                <w:b/>
                <w:color w:val="000000"/>
                <w:spacing w:val="-2"/>
                <w:sz w:val="21"/>
                <w:szCs w:val="21"/>
              </w:rPr>
              <w:t xml:space="preserve">Załączniki </w:t>
            </w:r>
            <w:r w:rsidR="00F749A5" w:rsidRPr="00F749A5">
              <w:rPr>
                <w:rFonts w:ascii="Times New Roman" w:eastAsia="Calibri" w:hAnsi="Times New Roman" w:cs="Times New Roman"/>
                <w:b/>
                <w:spacing w:val="-2"/>
                <w:sz w:val="21"/>
                <w:szCs w:val="21"/>
              </w:rPr>
              <w:t>(istotne dokumenty źródłowe, badania, analizy itp.</w:t>
            </w:r>
            <w:r w:rsidR="00F749A5" w:rsidRPr="00F749A5">
              <w:rPr>
                <w:rFonts w:ascii="Times New Roman" w:eastAsia="Calibri" w:hAnsi="Times New Roman" w:cs="Times New Roman"/>
                <w:b/>
                <w:color w:val="000000"/>
                <w:spacing w:val="-2"/>
                <w:sz w:val="21"/>
                <w:szCs w:val="21"/>
              </w:rPr>
              <w:t xml:space="preserve">) </w:t>
            </w:r>
          </w:p>
        </w:tc>
      </w:tr>
      <w:tr w:rsidR="00F749A5" w:rsidRPr="00F749A5" w:rsidTr="00F749A5">
        <w:trPr>
          <w:gridAfter w:val="2"/>
          <w:wAfter w:w="34" w:type="dxa"/>
          <w:trHeight w:val="142"/>
        </w:trPr>
        <w:tc>
          <w:tcPr>
            <w:tcW w:w="10916" w:type="dxa"/>
            <w:gridSpan w:val="29"/>
            <w:shd w:val="clear" w:color="auto" w:fill="FFFFFF"/>
          </w:tcPr>
          <w:p w:rsidR="00F749A5" w:rsidRPr="00F749A5" w:rsidRDefault="00F749A5" w:rsidP="00F749A5">
            <w:pPr>
              <w:spacing w:after="0" w:line="240" w:lineRule="auto"/>
              <w:jc w:val="both"/>
              <w:rPr>
                <w:rFonts w:ascii="Times New Roman" w:eastAsia="Calibri" w:hAnsi="Times New Roman" w:cs="Times New Roman"/>
                <w:color w:val="000000"/>
                <w:spacing w:val="-2"/>
                <w:sz w:val="21"/>
                <w:szCs w:val="21"/>
              </w:rPr>
            </w:pPr>
          </w:p>
          <w:p w:rsidR="00F749A5" w:rsidRPr="00F749A5" w:rsidRDefault="00F749A5" w:rsidP="00F749A5">
            <w:pPr>
              <w:spacing w:after="0" w:line="240" w:lineRule="auto"/>
              <w:jc w:val="both"/>
              <w:rPr>
                <w:rFonts w:ascii="Times New Roman" w:eastAsia="Calibri" w:hAnsi="Times New Roman" w:cs="Times New Roman"/>
                <w:color w:val="000000"/>
                <w:spacing w:val="-2"/>
                <w:sz w:val="21"/>
                <w:szCs w:val="21"/>
              </w:rPr>
            </w:pPr>
          </w:p>
          <w:p w:rsidR="00F749A5" w:rsidRPr="00F749A5" w:rsidRDefault="00F749A5" w:rsidP="00F749A5">
            <w:pPr>
              <w:spacing w:after="0" w:line="240" w:lineRule="auto"/>
              <w:jc w:val="both"/>
              <w:rPr>
                <w:rFonts w:ascii="Times New Roman" w:eastAsia="Calibri" w:hAnsi="Times New Roman" w:cs="Times New Roman"/>
                <w:color w:val="000000"/>
                <w:spacing w:val="-2"/>
                <w:sz w:val="21"/>
                <w:szCs w:val="21"/>
              </w:rPr>
            </w:pPr>
          </w:p>
        </w:tc>
      </w:tr>
    </w:tbl>
    <w:p w:rsidR="00A67280" w:rsidRPr="002247E9" w:rsidRDefault="00A67280" w:rsidP="007A6371">
      <w:pPr>
        <w:spacing w:before="120" w:after="0" w:line="360" w:lineRule="auto"/>
        <w:rPr>
          <w:rFonts w:ascii="Times New Roman" w:hAnsi="Times New Roman" w:cs="Times New Roman"/>
          <w:sz w:val="20"/>
          <w:szCs w:val="20"/>
        </w:rPr>
      </w:pPr>
    </w:p>
    <w:sectPr w:rsidR="00A67280" w:rsidRPr="002247E9" w:rsidSect="00F749A5">
      <w:pgSz w:w="11906" w:h="16838"/>
      <w:pgMar w:top="567" w:right="709"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21" w:rsidRDefault="00FB1621" w:rsidP="0050234B">
      <w:pPr>
        <w:spacing w:after="0" w:line="240" w:lineRule="auto"/>
      </w:pPr>
      <w:r>
        <w:separator/>
      </w:r>
    </w:p>
  </w:endnote>
  <w:endnote w:type="continuationSeparator" w:id="0">
    <w:p w:rsidR="00FB1621" w:rsidRDefault="00FB1621" w:rsidP="0050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68351"/>
      <w:docPartObj>
        <w:docPartGallery w:val="Page Numbers (Bottom of Page)"/>
        <w:docPartUnique/>
      </w:docPartObj>
    </w:sdtPr>
    <w:sdtEndPr>
      <w:rPr>
        <w:rFonts w:ascii="Times New Roman" w:hAnsi="Times New Roman" w:cs="Times New Roman"/>
        <w:sz w:val="24"/>
        <w:szCs w:val="24"/>
      </w:rPr>
    </w:sdtEndPr>
    <w:sdtContent>
      <w:p w:rsidR="00001D9A" w:rsidRPr="00F5508D" w:rsidRDefault="00001D9A" w:rsidP="00F749A5">
        <w:pPr>
          <w:pStyle w:val="Stopka"/>
          <w:jc w:val="center"/>
          <w:rPr>
            <w:rFonts w:ascii="Times New Roman" w:hAnsi="Times New Roman" w:cs="Times New Roman"/>
            <w:sz w:val="24"/>
            <w:szCs w:val="24"/>
          </w:rPr>
        </w:pPr>
        <w:r w:rsidRPr="00F5508D">
          <w:rPr>
            <w:rFonts w:ascii="Times New Roman" w:hAnsi="Times New Roman" w:cs="Times New Roman"/>
            <w:sz w:val="24"/>
            <w:szCs w:val="24"/>
          </w:rPr>
          <w:fldChar w:fldCharType="begin"/>
        </w:r>
        <w:r w:rsidRPr="00F5508D">
          <w:rPr>
            <w:rFonts w:ascii="Times New Roman" w:hAnsi="Times New Roman" w:cs="Times New Roman"/>
            <w:sz w:val="24"/>
            <w:szCs w:val="24"/>
          </w:rPr>
          <w:instrText xml:space="preserve"> PAGE   \* MERGEFORMAT </w:instrText>
        </w:r>
        <w:r w:rsidRPr="00F5508D">
          <w:rPr>
            <w:rFonts w:ascii="Times New Roman" w:hAnsi="Times New Roman" w:cs="Times New Roman"/>
            <w:sz w:val="24"/>
            <w:szCs w:val="24"/>
          </w:rPr>
          <w:fldChar w:fldCharType="separate"/>
        </w:r>
        <w:r w:rsidR="003367F9">
          <w:rPr>
            <w:rFonts w:ascii="Times New Roman" w:hAnsi="Times New Roman" w:cs="Times New Roman"/>
            <w:noProof/>
            <w:sz w:val="24"/>
            <w:szCs w:val="24"/>
          </w:rPr>
          <w:t>47</w:t>
        </w:r>
        <w:r w:rsidRPr="00F5508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21" w:rsidRDefault="00FB1621" w:rsidP="0050234B">
      <w:pPr>
        <w:spacing w:after="0" w:line="240" w:lineRule="auto"/>
      </w:pPr>
      <w:r>
        <w:separator/>
      </w:r>
    </w:p>
  </w:footnote>
  <w:footnote w:type="continuationSeparator" w:id="0">
    <w:p w:rsidR="00FB1621" w:rsidRDefault="00FB1621" w:rsidP="0050234B">
      <w:pPr>
        <w:spacing w:after="0" w:line="240" w:lineRule="auto"/>
      </w:pPr>
      <w:r>
        <w:continuationSeparator/>
      </w:r>
    </w:p>
  </w:footnote>
  <w:footnote w:id="1">
    <w:p w:rsidR="00001D9A" w:rsidRPr="00F5508D" w:rsidRDefault="00001D9A">
      <w:pPr>
        <w:pStyle w:val="Tekstprzypisudolnego"/>
        <w:rPr>
          <w:rFonts w:ascii="Times New Roman" w:hAnsi="Times New Roman" w:cs="Times New Roman"/>
        </w:rPr>
      </w:pPr>
      <w:r w:rsidRPr="00F5508D">
        <w:rPr>
          <w:rStyle w:val="Odwoanieprzypisudolnego"/>
          <w:rFonts w:ascii="Times New Roman" w:hAnsi="Times New Roman" w:cs="Times New Roman"/>
        </w:rPr>
        <w:footnoteRef/>
      </w:r>
      <w:r w:rsidRPr="00F5508D">
        <w:rPr>
          <w:rFonts w:ascii="Times New Roman" w:hAnsi="Times New Roman" w:cs="Times New Roman"/>
          <w:vertAlign w:val="superscript"/>
        </w:rPr>
        <w:t xml:space="preserve">) </w:t>
      </w:r>
      <w:r w:rsidRPr="00F5508D">
        <w:rPr>
          <w:rFonts w:ascii="Times New Roman" w:hAnsi="Times New Roman" w:cs="Times New Roman"/>
        </w:rPr>
        <w:t>Aktywność ekonomiczna ludności Polski III kwartał 2014 r., Główny Urząd Statystyczny, Warszawa 2015 r.</w:t>
      </w:r>
    </w:p>
  </w:footnote>
  <w:footnote w:id="2">
    <w:p w:rsidR="00001D9A" w:rsidRPr="00F5508D" w:rsidRDefault="00001D9A" w:rsidP="00DB3690">
      <w:pPr>
        <w:pStyle w:val="Tekstprzypisudolnego"/>
        <w:rPr>
          <w:rFonts w:ascii="Times New Roman" w:hAnsi="Times New Roman" w:cs="Times New Roman"/>
        </w:rPr>
      </w:pPr>
      <w:r w:rsidRPr="00F5508D">
        <w:rPr>
          <w:rStyle w:val="Odwoanieprzypisudolnego"/>
          <w:rFonts w:ascii="Times New Roman" w:hAnsi="Times New Roman" w:cs="Times New Roman"/>
        </w:rPr>
        <w:footnoteRef/>
      </w:r>
      <w:r w:rsidRPr="00F5508D">
        <w:rPr>
          <w:rFonts w:ascii="Times New Roman" w:hAnsi="Times New Roman" w:cs="Times New Roman"/>
          <w:vertAlign w:val="superscript"/>
        </w:rPr>
        <w:t>)</w:t>
      </w:r>
      <w:r w:rsidRPr="00F5508D">
        <w:rPr>
          <w:rFonts w:ascii="Times New Roman" w:hAnsi="Times New Roman" w:cs="Times New Roman"/>
        </w:rPr>
        <w:t xml:space="preserve"> Według stanu na koniec stycznia 2015 r.</w:t>
      </w:r>
    </w:p>
    <w:p w:rsidR="00001D9A" w:rsidRPr="00F5508D" w:rsidRDefault="00001D9A">
      <w:pPr>
        <w:pStyle w:val="Tekstprzypisudolnego"/>
        <w:rPr>
          <w:rFonts w:ascii="Times New Roman" w:hAnsi="Times New Roman" w:cs="Times New Roman"/>
        </w:rPr>
      </w:pPr>
    </w:p>
  </w:footnote>
  <w:footnote w:id="3">
    <w:p w:rsidR="00001D9A" w:rsidRPr="00F5508D" w:rsidRDefault="00001D9A" w:rsidP="002247E9">
      <w:pPr>
        <w:pStyle w:val="Tekstprzypisudolnego"/>
        <w:ind w:left="182" w:hanging="182"/>
        <w:jc w:val="both"/>
        <w:rPr>
          <w:rFonts w:ascii="Times New Roman" w:eastAsia="Times New Roman" w:hAnsi="Times New Roman" w:cs="Times New Roman"/>
          <w:lang w:eastAsia="pl-PL"/>
        </w:rPr>
      </w:pPr>
      <w:r w:rsidRPr="00F5508D">
        <w:rPr>
          <w:rStyle w:val="Odwoanieprzypisudolnego"/>
          <w:rFonts w:ascii="Times New Roman" w:hAnsi="Times New Roman" w:cs="Times New Roman"/>
        </w:rPr>
        <w:footnoteRef/>
      </w:r>
      <w:r w:rsidRPr="00F5508D">
        <w:rPr>
          <w:rFonts w:ascii="Times New Roman" w:hAnsi="Times New Roman" w:cs="Times New Roman"/>
          <w:vertAlign w:val="superscript"/>
        </w:rPr>
        <w:t>)</w:t>
      </w:r>
      <w:r w:rsidRPr="00F5508D">
        <w:rPr>
          <w:rFonts w:ascii="Times New Roman" w:hAnsi="Times New Roman" w:cs="Times New Roman"/>
        </w:rPr>
        <w:t xml:space="preserve"> </w:t>
      </w:r>
      <w:r w:rsidRPr="00F5508D">
        <w:rPr>
          <w:rFonts w:ascii="Times New Roman" w:eastAsia="Times New Roman" w:hAnsi="Times New Roman" w:cs="Times New Roman"/>
          <w:lang w:eastAsia="pl-PL"/>
        </w:rPr>
        <w:t>Ponieważ parametry określające sytuację na rynku mieszkaniowym są specyficzne dla danej lokalizacji i zależą od lokalnych uwarunkowań podażowych, popytowych i cenowych, analizę wykonano dla wybranych lokalizacji (województwo mazowieckie, województwo podkarpackie, województwo małopolskie, województwo wielkopolskie i województwo świętokrzyskie).</w:t>
      </w:r>
    </w:p>
    <w:p w:rsidR="00001D9A" w:rsidRPr="008F2B25" w:rsidRDefault="00001D9A" w:rsidP="001B383E">
      <w:pPr>
        <w:pStyle w:val="Tekstprzypisudolnego"/>
        <w:rPr>
          <w:sz w:val="16"/>
          <w:szCs w:val="16"/>
        </w:rPr>
      </w:pPr>
    </w:p>
  </w:footnote>
  <w:footnote w:id="4">
    <w:p w:rsidR="00001D9A" w:rsidRPr="00F5508D" w:rsidRDefault="00001D9A" w:rsidP="002247E9">
      <w:pPr>
        <w:pStyle w:val="Tekstprzypisudolnego"/>
        <w:ind w:left="182" w:hanging="182"/>
        <w:jc w:val="both"/>
        <w:rPr>
          <w:rFonts w:ascii="Times New Roman" w:hAnsi="Times New Roman" w:cs="Times New Roman"/>
        </w:rPr>
      </w:pPr>
      <w:r w:rsidRPr="00F5508D">
        <w:rPr>
          <w:rStyle w:val="Odwoanieprzypisudolnego"/>
          <w:rFonts w:ascii="Times New Roman" w:hAnsi="Times New Roman" w:cs="Times New Roman"/>
        </w:rPr>
        <w:footnoteRef/>
      </w:r>
      <w:r w:rsidRPr="00F5508D">
        <w:rPr>
          <w:rFonts w:ascii="Times New Roman" w:hAnsi="Times New Roman" w:cs="Times New Roman"/>
          <w:vertAlign w:val="superscript"/>
        </w:rPr>
        <w:t>)</w:t>
      </w:r>
      <w:r w:rsidRPr="00F5508D">
        <w:rPr>
          <w:rFonts w:ascii="Times New Roman" w:hAnsi="Times New Roman" w:cs="Times New Roman"/>
        </w:rPr>
        <w:t xml:space="preserve"> </w:t>
      </w:r>
      <w:r w:rsidRPr="00F5508D">
        <w:rPr>
          <w:rFonts w:ascii="Times New Roman" w:eastAsia="Times New Roman" w:hAnsi="Times New Roman" w:cs="Times New Roman"/>
          <w:lang w:eastAsia="pl-PL"/>
        </w:rPr>
        <w:t xml:space="preserve">Pomijając omówiony już powyżej aspekt polityki demograficznej, w kontekście przeprowadzonych analiz dostępności aspekt </w:t>
      </w:r>
      <w:proofErr w:type="spellStart"/>
      <w:r w:rsidRPr="00F5508D">
        <w:rPr>
          <w:rFonts w:ascii="Times New Roman" w:eastAsia="Times New Roman" w:hAnsi="Times New Roman" w:cs="Times New Roman"/>
          <w:lang w:eastAsia="pl-PL"/>
        </w:rPr>
        <w:t>mobilnościowy</w:t>
      </w:r>
      <w:proofErr w:type="spellEnd"/>
      <w:r w:rsidRPr="00F5508D">
        <w:rPr>
          <w:rFonts w:ascii="Times New Roman" w:eastAsia="Times New Roman" w:hAnsi="Times New Roman" w:cs="Times New Roman"/>
          <w:lang w:eastAsia="pl-PL"/>
        </w:rPr>
        <w:t xml:space="preserve"> został podkreślony przez analizę możliwości dochodowych osób zamieszkujących w danym województwie, które chcą się przeprowadzić w poszukiwaniu pracy do stolicy województwa. Należy podkreślić, że we wszystkich badanych województwach osoby spoza stolicy województwa osiągają przeciętnie niższe dochody, co dodatkowo ogranicza ich możliwości na rynku mieszkaniowym. Aspekt spójności społecznej odzwierciedlają badania dotyczące możliwości mieszkaniowych grup ludności o najniższych wynagrodzeniach.</w:t>
      </w:r>
    </w:p>
  </w:footnote>
  <w:footnote w:id="5">
    <w:p w:rsidR="00001D9A" w:rsidRPr="00F5508D" w:rsidRDefault="00001D9A" w:rsidP="002247E9">
      <w:pPr>
        <w:pStyle w:val="Tekstprzypisudolnego"/>
        <w:ind w:left="182" w:hanging="182"/>
        <w:jc w:val="both"/>
        <w:rPr>
          <w:rFonts w:ascii="Times New Roman" w:eastAsia="Times New Roman" w:hAnsi="Times New Roman" w:cs="Times New Roman"/>
          <w:spacing w:val="-6"/>
          <w:lang w:eastAsia="pl-PL"/>
        </w:rPr>
      </w:pPr>
      <w:r w:rsidRPr="00F5508D">
        <w:rPr>
          <w:rStyle w:val="Odwoanieprzypisudolnego"/>
          <w:rFonts w:ascii="Times New Roman" w:hAnsi="Times New Roman" w:cs="Times New Roman"/>
        </w:rPr>
        <w:footnoteRef/>
      </w:r>
      <w:r w:rsidRPr="00F5508D">
        <w:rPr>
          <w:rFonts w:ascii="Times New Roman" w:hAnsi="Times New Roman" w:cs="Times New Roman"/>
          <w:vertAlign w:val="superscript"/>
        </w:rPr>
        <w:t>)</w:t>
      </w:r>
      <w:r w:rsidRPr="00F5508D">
        <w:rPr>
          <w:rFonts w:ascii="Times New Roman" w:hAnsi="Times New Roman" w:cs="Times New Roman"/>
        </w:rPr>
        <w:t xml:space="preserve"> </w:t>
      </w:r>
      <w:r w:rsidRPr="00F5508D">
        <w:rPr>
          <w:rFonts w:ascii="Times New Roman" w:eastAsia="Times New Roman" w:hAnsi="Times New Roman" w:cs="Times New Roman"/>
          <w:lang w:eastAsia="pl-PL"/>
        </w:rPr>
        <w:t xml:space="preserve">Wydatki </w:t>
      </w:r>
      <w:r w:rsidRPr="00F5508D">
        <w:rPr>
          <w:rFonts w:ascii="Times New Roman" w:eastAsia="Times New Roman" w:hAnsi="Times New Roman" w:cs="Times New Roman"/>
          <w:spacing w:val="-6"/>
          <w:lang w:eastAsia="pl-PL"/>
        </w:rPr>
        <w:t xml:space="preserve">na ten cel planowane są corocznie w ramach rezerwy celowej, zaś wprowadzeniu programu </w:t>
      </w:r>
      <w:proofErr w:type="spellStart"/>
      <w:r w:rsidRPr="00F5508D">
        <w:rPr>
          <w:rFonts w:ascii="Times New Roman" w:eastAsia="Times New Roman" w:hAnsi="Times New Roman" w:cs="Times New Roman"/>
          <w:spacing w:val="-6"/>
          <w:lang w:eastAsia="pl-PL"/>
        </w:rPr>
        <w:t>MdM</w:t>
      </w:r>
      <w:proofErr w:type="spellEnd"/>
      <w:r w:rsidRPr="00F5508D">
        <w:rPr>
          <w:rFonts w:ascii="Times New Roman" w:eastAsia="Times New Roman" w:hAnsi="Times New Roman" w:cs="Times New Roman"/>
          <w:spacing w:val="-6"/>
          <w:lang w:eastAsia="pl-PL"/>
        </w:rPr>
        <w:t xml:space="preserve"> towarzyszyły działania określające źródła finansowania nowych wydatków związane z wygaszeniem z końcem 2013 r. szeroko adresowanego systemu tzw. „zwrotu VAT” na materiały budowlane. </w:t>
      </w:r>
    </w:p>
    <w:p w:rsidR="00001D9A" w:rsidRPr="008F2B25" w:rsidRDefault="00001D9A" w:rsidP="001B383E">
      <w:pPr>
        <w:pStyle w:val="Tekstprzypisudolnego"/>
        <w:rPr>
          <w:sz w:val="16"/>
          <w:szCs w:val="16"/>
        </w:rPr>
      </w:pPr>
    </w:p>
  </w:footnote>
  <w:footnote w:id="6">
    <w:p w:rsidR="00001D9A" w:rsidRPr="0039474D" w:rsidRDefault="00001D9A" w:rsidP="002247E9">
      <w:pPr>
        <w:spacing w:after="0" w:line="240" w:lineRule="auto"/>
        <w:ind w:left="126" w:hanging="126"/>
        <w:jc w:val="both"/>
        <w:rPr>
          <w:rFonts w:ascii="Times New Roman" w:hAnsi="Times New Roman" w:cs="Times New Roman"/>
          <w:sz w:val="20"/>
          <w:szCs w:val="20"/>
        </w:rPr>
      </w:pPr>
      <w:r w:rsidRPr="0039474D">
        <w:rPr>
          <w:rStyle w:val="Odwoanieprzypisudolnego"/>
          <w:rFonts w:ascii="Times New Roman" w:hAnsi="Times New Roman" w:cs="Times New Roman"/>
          <w:sz w:val="20"/>
          <w:szCs w:val="20"/>
        </w:rPr>
        <w:footnoteRef/>
      </w:r>
      <w:r w:rsidRPr="0039474D">
        <w:rPr>
          <w:rFonts w:ascii="Times New Roman" w:hAnsi="Times New Roman" w:cs="Times New Roman"/>
          <w:sz w:val="20"/>
          <w:szCs w:val="20"/>
          <w:vertAlign w:val="superscript"/>
        </w:rPr>
        <w:t>)</w:t>
      </w:r>
      <w:r w:rsidRPr="0039474D">
        <w:rPr>
          <w:rFonts w:ascii="Times New Roman" w:hAnsi="Times New Roman" w:cs="Times New Roman"/>
          <w:sz w:val="20"/>
          <w:szCs w:val="20"/>
        </w:rPr>
        <w:t xml:space="preserve"> Zakłada się, ze środki pokrywające zapotrzebowanie na dotację w pierwszym i</w:t>
      </w:r>
      <w:r>
        <w:rPr>
          <w:rFonts w:ascii="Times New Roman" w:hAnsi="Times New Roman" w:cs="Times New Roman"/>
          <w:sz w:val="20"/>
          <w:szCs w:val="20"/>
        </w:rPr>
        <w:t xml:space="preserve"> ew. drugim roku programu (2015–</w:t>
      </w:r>
      <w:r w:rsidRPr="0039474D">
        <w:rPr>
          <w:rFonts w:ascii="Times New Roman" w:hAnsi="Times New Roman" w:cs="Times New Roman"/>
          <w:sz w:val="20"/>
          <w:szCs w:val="20"/>
        </w:rPr>
        <w:t>2016) zostaną pokryte ze</w:t>
      </w:r>
      <w:r>
        <w:rPr>
          <w:rFonts w:ascii="Times New Roman" w:hAnsi="Times New Roman" w:cs="Times New Roman"/>
          <w:sz w:val="20"/>
          <w:szCs w:val="20"/>
        </w:rPr>
        <w:t xml:space="preserve"> </w:t>
      </w:r>
      <w:r w:rsidRPr="0039474D">
        <w:rPr>
          <w:rFonts w:ascii="Times New Roman" w:hAnsi="Times New Roman" w:cs="Times New Roman"/>
          <w:sz w:val="20"/>
          <w:szCs w:val="20"/>
        </w:rPr>
        <w:t>środków pochodzących ze spłat do Funduszu Dopłat części umorzenia kredytów z b. KFM dokonywanych w związku z wykupem mieszkań w</w:t>
      </w:r>
      <w:r>
        <w:rPr>
          <w:rFonts w:ascii="Times New Roman" w:hAnsi="Times New Roman" w:cs="Times New Roman"/>
          <w:sz w:val="20"/>
          <w:szCs w:val="20"/>
        </w:rPr>
        <w:t xml:space="preserve"> </w:t>
      </w:r>
      <w:r w:rsidRPr="0039474D">
        <w:rPr>
          <w:rFonts w:ascii="Times New Roman" w:hAnsi="Times New Roman" w:cs="Times New Roman"/>
          <w:sz w:val="20"/>
          <w:szCs w:val="20"/>
        </w:rPr>
        <w:t>spółdzielniach –</w:t>
      </w:r>
      <w:r>
        <w:rPr>
          <w:rFonts w:ascii="Times New Roman" w:hAnsi="Times New Roman" w:cs="Times New Roman"/>
          <w:sz w:val="20"/>
          <w:szCs w:val="20"/>
        </w:rPr>
        <w:t xml:space="preserve"> </w:t>
      </w:r>
      <w:r w:rsidRPr="0039474D">
        <w:rPr>
          <w:rFonts w:ascii="Times New Roman" w:hAnsi="Times New Roman" w:cs="Times New Roman"/>
          <w:sz w:val="20"/>
          <w:szCs w:val="20"/>
        </w:rPr>
        <w:t>w ramach koncepcji przyjęto, że dodatkowe zasilenie budżetowe programu w tym okresie może nie być wymagane.</w:t>
      </w:r>
    </w:p>
  </w:footnote>
  <w:footnote w:id="7">
    <w:p w:rsidR="00001D9A" w:rsidRPr="00F5508D" w:rsidRDefault="00001D9A" w:rsidP="002247E9">
      <w:pPr>
        <w:pStyle w:val="Tekstprzypisudolnego"/>
        <w:ind w:left="210" w:hanging="210"/>
        <w:jc w:val="both"/>
        <w:rPr>
          <w:rFonts w:ascii="Times New Roman" w:hAnsi="Times New Roman" w:cs="Times New Roman"/>
        </w:rPr>
      </w:pPr>
      <w:r w:rsidRPr="00F5508D">
        <w:rPr>
          <w:rStyle w:val="Odwoanieprzypisudolnego"/>
          <w:rFonts w:ascii="Times New Roman" w:hAnsi="Times New Roman" w:cs="Times New Roman"/>
        </w:rPr>
        <w:footnoteRef/>
      </w:r>
      <w:r w:rsidRPr="00F5508D">
        <w:rPr>
          <w:rFonts w:ascii="Times New Roman" w:hAnsi="Times New Roman" w:cs="Times New Roman"/>
          <w:vertAlign w:val="superscript"/>
        </w:rPr>
        <w:t>)</w:t>
      </w:r>
      <w:r w:rsidRPr="00F5508D">
        <w:rPr>
          <w:rFonts w:ascii="Times New Roman" w:hAnsi="Times New Roman" w:cs="Times New Roman"/>
        </w:rPr>
        <w:t xml:space="preserve"> W związku z zaproponowanym rozwiązaniem w projekcie ustawy zakłada się, że do ustawy z dnia 5 grudnia 2002 r. o dopłatach do oprocentowania kredytów mieszkaniowych o stałej stopie procentowej, określającej katalog zadań finansowanych w oparciu o środki Funduszu Dopłat, wprowadzone zostanie również stosowne poszerzenie ww. katalogu.</w:t>
      </w:r>
    </w:p>
  </w:footnote>
  <w:footnote w:id="8">
    <w:p w:rsidR="00001D9A" w:rsidRPr="0039474D" w:rsidRDefault="00001D9A" w:rsidP="00D15C66">
      <w:pPr>
        <w:pStyle w:val="Tekstprzypisudolnego"/>
        <w:ind w:left="210" w:hanging="210"/>
        <w:jc w:val="both"/>
        <w:rPr>
          <w:rFonts w:ascii="Times New Roman" w:hAnsi="Times New Roman" w:cs="Times New Roman"/>
        </w:rPr>
      </w:pPr>
      <w:r w:rsidRPr="0039474D">
        <w:rPr>
          <w:rStyle w:val="Odwoanieprzypisudolnego"/>
          <w:rFonts w:ascii="Times New Roman" w:hAnsi="Times New Roman" w:cs="Times New Roman"/>
        </w:rPr>
        <w:footnoteRef/>
      </w:r>
      <w:r>
        <w:rPr>
          <w:rFonts w:ascii="Times New Roman" w:hAnsi="Times New Roman" w:cs="Times New Roman"/>
          <w:vertAlign w:val="superscript"/>
        </w:rPr>
        <w:t>)</w:t>
      </w:r>
      <w:r w:rsidRPr="0039474D">
        <w:rPr>
          <w:rFonts w:ascii="Times New Roman" w:hAnsi="Times New Roman" w:cs="Times New Roman"/>
        </w:rPr>
        <w:t xml:space="preserve"> </w:t>
      </w:r>
      <w:r w:rsidRPr="0039474D">
        <w:rPr>
          <w:rFonts w:ascii="Times New Roman" w:eastAsia="Times New Roman" w:hAnsi="Times New Roman" w:cs="Times New Roman"/>
          <w:lang w:eastAsia="pl-PL"/>
        </w:rPr>
        <w:t>Z uwagi na brak jeszcze ogłoszenia wartości wskaźnika GUS za IV kw. 2014 r. w obliczeniach przyjęto wysokość średniej arytmetycznej czterech ostatnio ogłoszonych wartości wskaźnika wg stanu na III kw. 2014</w:t>
      </w:r>
      <w:r>
        <w:rPr>
          <w:rFonts w:ascii="Times New Roman" w:eastAsia="Times New Roman" w:hAnsi="Times New Roman" w:cs="Times New Roman"/>
          <w:lang w:eastAsia="pl-PL"/>
        </w:rPr>
        <w:t> </w:t>
      </w:r>
      <w:r w:rsidRPr="0039474D">
        <w:rPr>
          <w:rFonts w:ascii="Times New Roman" w:eastAsia="Times New Roman" w:hAnsi="Times New Roman" w:cs="Times New Roman"/>
          <w:lang w:eastAsia="pl-PL"/>
        </w:rPr>
        <w:t>r. (z uwagi na przyjętą we wzorze formułę średniej arytmetycznej przyjęcie tego rozwiązania w obliczeniach nie ma istotnego wpływu na wyniki obliczeń).</w:t>
      </w:r>
    </w:p>
  </w:footnote>
  <w:footnote w:id="9">
    <w:p w:rsidR="00001D9A" w:rsidRPr="0039474D" w:rsidRDefault="00001D9A" w:rsidP="00D15C66">
      <w:pPr>
        <w:pStyle w:val="Tekstprzypisudolnego"/>
        <w:ind w:left="210" w:hanging="210"/>
        <w:jc w:val="both"/>
        <w:rPr>
          <w:rFonts w:ascii="Times New Roman" w:eastAsia="Times New Roman" w:hAnsi="Times New Roman" w:cs="Times New Roman"/>
          <w:spacing w:val="-4"/>
          <w:lang w:eastAsia="pl-PL"/>
        </w:rPr>
      </w:pPr>
      <w:r w:rsidRPr="0039474D">
        <w:rPr>
          <w:rStyle w:val="Odwoanieprzypisudolnego"/>
          <w:rFonts w:ascii="Times New Roman" w:hAnsi="Times New Roman" w:cs="Times New Roman"/>
        </w:rPr>
        <w:footnoteRef/>
      </w:r>
      <w:r>
        <w:rPr>
          <w:rFonts w:ascii="Times New Roman" w:hAnsi="Times New Roman" w:cs="Times New Roman"/>
          <w:vertAlign w:val="superscript"/>
        </w:rPr>
        <w:t>)</w:t>
      </w:r>
      <w:r w:rsidRPr="0039474D">
        <w:rPr>
          <w:rFonts w:ascii="Times New Roman" w:hAnsi="Times New Roman" w:cs="Times New Roman"/>
        </w:rPr>
        <w:t xml:space="preserve"> </w:t>
      </w:r>
      <w:r w:rsidRPr="0039474D">
        <w:rPr>
          <w:rFonts w:ascii="Times New Roman" w:eastAsia="Times New Roman" w:hAnsi="Times New Roman" w:cs="Times New Roman"/>
          <w:lang w:eastAsia="pl-PL"/>
        </w:rPr>
        <w:t xml:space="preserve">Teoretyczny przykład </w:t>
      </w:r>
      <w:r w:rsidRPr="0039474D">
        <w:rPr>
          <w:rFonts w:ascii="Times New Roman" w:eastAsia="Times New Roman" w:hAnsi="Times New Roman" w:cs="Times New Roman"/>
          <w:spacing w:val="-4"/>
          <w:lang w:eastAsia="pl-PL"/>
        </w:rPr>
        <w:t xml:space="preserve">skrajny – wpłata partycypacji, a następnie rozliczenie zwrotu partycypacji, zamykają się w okresie </w:t>
      </w:r>
      <w:r w:rsidRPr="008D10D8">
        <w:rPr>
          <w:rFonts w:ascii="Times New Roman" w:eastAsia="Times New Roman" w:hAnsi="Times New Roman" w:cs="Times New Roman"/>
          <w:lang w:eastAsia="pl-PL"/>
        </w:rPr>
        <w:t>niespełna</w:t>
      </w:r>
      <w:r w:rsidRPr="0039474D">
        <w:rPr>
          <w:rFonts w:ascii="Times New Roman" w:eastAsia="Times New Roman" w:hAnsi="Times New Roman" w:cs="Times New Roman"/>
          <w:spacing w:val="-4"/>
          <w:lang w:eastAsia="pl-PL"/>
        </w:rPr>
        <w:t xml:space="preserve"> jednego roku.</w:t>
      </w:r>
    </w:p>
  </w:footnote>
  <w:footnote w:id="10">
    <w:p w:rsidR="00001D9A" w:rsidRPr="00F749A5" w:rsidRDefault="00001D9A" w:rsidP="008D10D8">
      <w:pPr>
        <w:pStyle w:val="Tekstprzypisudolnego"/>
        <w:ind w:left="182" w:hanging="182"/>
        <w:jc w:val="both"/>
        <w:rPr>
          <w:rFonts w:ascii="Times New Roman" w:hAnsi="Times New Roman" w:cs="Times New Roman"/>
        </w:rPr>
      </w:pPr>
      <w:r w:rsidRPr="0039474D">
        <w:rPr>
          <w:rStyle w:val="Odwoanieprzypisudolnego"/>
          <w:rFonts w:ascii="Times New Roman" w:hAnsi="Times New Roman" w:cs="Times New Roman"/>
        </w:rPr>
        <w:footnoteRef/>
      </w:r>
      <w:r>
        <w:rPr>
          <w:rFonts w:ascii="Times New Roman" w:hAnsi="Times New Roman" w:cs="Times New Roman"/>
          <w:vertAlign w:val="superscript"/>
        </w:rPr>
        <w:t>)</w:t>
      </w:r>
      <w:r w:rsidRPr="0039474D">
        <w:rPr>
          <w:rFonts w:ascii="Times New Roman" w:hAnsi="Times New Roman" w:cs="Times New Roman"/>
        </w:rPr>
        <w:t xml:space="preserve"> Podobnie jak to ma miejsce w przypadku innych przepisów rozdziału 4 nowelizowanej ustawy, odnoszących się do mieszkań czynszowych w zasobach TBS wybudowanych w ramach programu rządowego, projekt ustawy przewiduje, że omówione w dalszej części propozycje zmian w art. 30 nie będą ograniczały się wyłącznie do </w:t>
      </w:r>
      <w:r w:rsidRPr="00F749A5">
        <w:rPr>
          <w:rFonts w:ascii="Times New Roman" w:hAnsi="Times New Roman" w:cs="Times New Roman"/>
        </w:rPr>
        <w:t>lokali mieszkalnych w zasobach TBS, wybudowanych przy wykorzystaniu finansowego wsparcia. Przepisy te będą odpowiednio stosowane również do lokali mieszkalnych powstałych przy wykorzystaniu rządowego programu wsparcia w zasobach spółdzielni mieszkaniowych i innych spółek gminnych, zgodnie z omawianym przedłożeniem.</w:t>
      </w:r>
    </w:p>
  </w:footnote>
  <w:footnote w:id="11">
    <w:p w:rsidR="00001D9A" w:rsidRPr="00F749A5" w:rsidRDefault="00001D9A" w:rsidP="00D15C66">
      <w:pPr>
        <w:pStyle w:val="Tekstprzypisudolnego"/>
        <w:ind w:left="280" w:hanging="280"/>
        <w:jc w:val="both"/>
        <w:rPr>
          <w:rFonts w:ascii="Times New Roman" w:hAnsi="Times New Roman" w:cs="Times New Roman"/>
        </w:rPr>
      </w:pPr>
      <w:r w:rsidRPr="00F749A5">
        <w:rPr>
          <w:rStyle w:val="Odwoanieprzypisudolnego"/>
          <w:rFonts w:ascii="Times New Roman" w:hAnsi="Times New Roman" w:cs="Times New Roman"/>
        </w:rPr>
        <w:footnoteRef/>
      </w:r>
      <w:r>
        <w:rPr>
          <w:rFonts w:ascii="Times New Roman" w:hAnsi="Times New Roman" w:cs="Times New Roman"/>
          <w:vertAlign w:val="superscript"/>
        </w:rPr>
        <w:t>)</w:t>
      </w:r>
      <w:r w:rsidRPr="00F749A5">
        <w:rPr>
          <w:rFonts w:ascii="Times New Roman" w:hAnsi="Times New Roman" w:cs="Times New Roman"/>
        </w:rPr>
        <w:t xml:space="preserve"> Zgodnie z obowiązującymi przepisami najemca jest obowiązany składać towarzystwu raz na 2 lata, w terminie do dnia 30 kwietnia danego roku, deklarację o</w:t>
      </w:r>
      <w:r>
        <w:rPr>
          <w:rFonts w:ascii="Times New Roman" w:hAnsi="Times New Roman" w:cs="Times New Roman"/>
        </w:rPr>
        <w:t xml:space="preserve"> </w:t>
      </w:r>
      <w:r w:rsidRPr="00F749A5">
        <w:rPr>
          <w:rFonts w:ascii="Times New Roman" w:hAnsi="Times New Roman" w:cs="Times New Roman"/>
        </w:rPr>
        <w:t>średnim miesięcznym dochodzie przypadającym na gospodarstwo domowe w roku poprzednim oraz informować towarzystwo niezwłocznie o uzyskaniu tytułu prawnego do innego lokalu mieszkalnego (art. 30 ust. 3).</w:t>
      </w:r>
      <w:r>
        <w:rPr>
          <w:rStyle w:val="oznaczenie"/>
          <w:rFonts w:ascii="Times New Roman" w:hAnsi="Times New Roman" w:cs="Times New Roman"/>
        </w:rPr>
        <w:t xml:space="preserve"> </w:t>
      </w:r>
      <w:r w:rsidRPr="00F749A5">
        <w:rPr>
          <w:rFonts w:ascii="Times New Roman" w:hAnsi="Times New Roman" w:cs="Times New Roman"/>
        </w:rPr>
        <w:t>Najemca lub osoba ubiegająca się</w:t>
      </w:r>
      <w:r>
        <w:rPr>
          <w:rFonts w:ascii="Times New Roman" w:hAnsi="Times New Roman" w:cs="Times New Roman"/>
        </w:rPr>
        <w:t xml:space="preserve"> </w:t>
      </w:r>
      <w:r w:rsidRPr="00F749A5">
        <w:rPr>
          <w:rFonts w:ascii="Times New Roman" w:hAnsi="Times New Roman" w:cs="Times New Roman"/>
        </w:rPr>
        <w:t>o najem lokalu mieszkalnego jest obowiązana, na żądanie towarzystwa, przedstawić zaświadczenie właściwego miejscowo urzędu skarbowego o wysokości dochodów uzyskanych przez tę osobę oraz osoby zgłoszone przez nią do wspólnego zamieszkania (art. 30 ust. 4).</w:t>
      </w:r>
    </w:p>
  </w:footnote>
  <w:footnote w:id="12">
    <w:p w:rsidR="00001D9A" w:rsidRPr="00655511" w:rsidRDefault="00001D9A" w:rsidP="00D15C66">
      <w:pPr>
        <w:pStyle w:val="Tekstprzypisudolnego"/>
        <w:ind w:left="280" w:hanging="280"/>
        <w:jc w:val="both"/>
        <w:rPr>
          <w:rFonts w:ascii="Times New Roman" w:hAnsi="Times New Roman" w:cs="Times New Roman"/>
        </w:rPr>
      </w:pPr>
      <w:r w:rsidRPr="00655511">
        <w:rPr>
          <w:rStyle w:val="Odwoanieprzypisudolnego"/>
          <w:rFonts w:ascii="Times New Roman" w:hAnsi="Times New Roman" w:cs="Times New Roman"/>
        </w:rPr>
        <w:footnoteRef/>
      </w:r>
      <w:r>
        <w:rPr>
          <w:rFonts w:ascii="Times New Roman" w:hAnsi="Times New Roman" w:cs="Times New Roman"/>
          <w:vertAlign w:val="superscript"/>
        </w:rPr>
        <w:t>)</w:t>
      </w:r>
      <w:r w:rsidRPr="00655511">
        <w:rPr>
          <w:rFonts w:ascii="Times New Roman" w:hAnsi="Times New Roman" w:cs="Times New Roman"/>
        </w:rPr>
        <w:t xml:space="preserve"> Rynek wynajmu mieszkań w Polsce. Ocena TBS/Sprawozdanie końcowe, Bank Światowy, 2009 r.</w:t>
      </w:r>
    </w:p>
  </w:footnote>
  <w:footnote w:id="13">
    <w:p w:rsidR="00001D9A" w:rsidRPr="008D10D8" w:rsidRDefault="00001D9A" w:rsidP="008D10D8">
      <w:pPr>
        <w:pStyle w:val="Tekstprzypisudolnego"/>
        <w:ind w:left="266" w:hanging="266"/>
        <w:jc w:val="both"/>
        <w:rPr>
          <w:rFonts w:ascii="Times New Roman" w:hAnsi="Times New Roman" w:cs="Times New Roman"/>
        </w:rPr>
      </w:pPr>
      <w:r w:rsidRPr="008D10D8">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ab/>
      </w:r>
      <w:r w:rsidRPr="008D10D8">
        <w:rPr>
          <w:rFonts w:ascii="Times New Roman" w:hAnsi="Times New Roman" w:cs="Times New Roman"/>
        </w:rPr>
        <w:t xml:space="preserve">Obecnie oprocentowanie kredytów mieszkaniowych jest niższe i wynosi ok. 4%, jednak w celu zobiektywizowania wyników analizy przyjęto średnią wieloletnią (przeciętny WIBOR 3M z ostatnich </w:t>
      </w:r>
      <w:r w:rsidRPr="008D10D8">
        <w:rPr>
          <w:rFonts w:ascii="Times New Roman" w:hAnsi="Times New Roman" w:cs="Times New Roman"/>
        </w:rPr>
        <w:br/>
        <w:t>10 lat = ok. 4% + 2 pp. marży).</w:t>
      </w:r>
    </w:p>
  </w:footnote>
  <w:footnote w:id="14">
    <w:p w:rsidR="00001D9A" w:rsidRPr="00655511" w:rsidRDefault="00001D9A" w:rsidP="008D10D8">
      <w:pPr>
        <w:spacing w:after="0" w:line="240" w:lineRule="auto"/>
        <w:ind w:left="238" w:hanging="238"/>
        <w:jc w:val="both"/>
        <w:rPr>
          <w:rFonts w:ascii="Times New Roman" w:hAnsi="Times New Roman" w:cs="Times New Roman"/>
          <w:sz w:val="20"/>
          <w:szCs w:val="20"/>
          <w:lang w:val="en-US"/>
        </w:rPr>
      </w:pPr>
      <w:r w:rsidRPr="00655511">
        <w:rPr>
          <w:rStyle w:val="Odwoanieprzypisudolnego"/>
          <w:rFonts w:ascii="Times New Roman" w:hAnsi="Times New Roman" w:cs="Times New Roman"/>
          <w:sz w:val="20"/>
          <w:szCs w:val="20"/>
        </w:rPr>
        <w:footnoteRef/>
      </w:r>
      <w:r>
        <w:rPr>
          <w:rFonts w:ascii="Times New Roman" w:hAnsi="Times New Roman" w:cs="Times New Roman"/>
          <w:sz w:val="20"/>
          <w:szCs w:val="20"/>
          <w:vertAlign w:val="superscript"/>
          <w:lang w:val="en-US"/>
        </w:rPr>
        <w:t>)</w:t>
      </w:r>
      <w:r w:rsidRPr="00655511">
        <w:rPr>
          <w:rFonts w:ascii="Times New Roman" w:hAnsi="Times New Roman" w:cs="Times New Roman"/>
          <w:sz w:val="20"/>
          <w:szCs w:val="20"/>
          <w:lang w:val="en-US"/>
        </w:rPr>
        <w:t xml:space="preserve"> </w:t>
      </w:r>
      <w:proofErr w:type="spellStart"/>
      <w:r w:rsidRPr="00655511">
        <w:rPr>
          <w:rFonts w:ascii="Times New Roman" w:hAnsi="Times New Roman" w:cs="Times New Roman"/>
          <w:sz w:val="20"/>
          <w:szCs w:val="20"/>
          <w:lang w:val="en-US"/>
        </w:rPr>
        <w:t>Opracowania</w:t>
      </w:r>
      <w:proofErr w:type="spellEnd"/>
      <w:r w:rsidRPr="00655511">
        <w:rPr>
          <w:rFonts w:ascii="Times New Roman" w:hAnsi="Times New Roman" w:cs="Times New Roman"/>
          <w:sz w:val="20"/>
          <w:szCs w:val="20"/>
          <w:lang w:val="en-US"/>
        </w:rPr>
        <w:t xml:space="preserve"> </w:t>
      </w:r>
      <w:proofErr w:type="spellStart"/>
      <w:r w:rsidRPr="00655511">
        <w:rPr>
          <w:rFonts w:ascii="Times New Roman" w:hAnsi="Times New Roman" w:cs="Times New Roman"/>
          <w:sz w:val="20"/>
          <w:szCs w:val="20"/>
          <w:lang w:val="en-US"/>
        </w:rPr>
        <w:t>tematyczne</w:t>
      </w:r>
      <w:proofErr w:type="spellEnd"/>
      <w:r w:rsidRPr="00655511">
        <w:rPr>
          <w:rFonts w:ascii="Times New Roman" w:hAnsi="Times New Roman" w:cs="Times New Roman"/>
          <w:sz w:val="20"/>
          <w:szCs w:val="20"/>
          <w:lang w:val="en-US"/>
        </w:rPr>
        <w:t xml:space="preserve">, m.in. Le </w:t>
      </w:r>
      <w:proofErr w:type="spellStart"/>
      <w:r w:rsidRPr="00655511">
        <w:rPr>
          <w:rFonts w:ascii="Times New Roman" w:hAnsi="Times New Roman" w:cs="Times New Roman"/>
          <w:sz w:val="20"/>
          <w:szCs w:val="20"/>
          <w:lang w:val="en-US"/>
        </w:rPr>
        <w:t>logement</w:t>
      </w:r>
      <w:proofErr w:type="spellEnd"/>
      <w:r w:rsidRPr="00655511">
        <w:rPr>
          <w:rFonts w:ascii="Times New Roman" w:hAnsi="Times New Roman" w:cs="Times New Roman"/>
          <w:sz w:val="20"/>
          <w:szCs w:val="20"/>
          <w:lang w:val="en-US"/>
        </w:rPr>
        <w:t xml:space="preserve"> social </w:t>
      </w:r>
      <w:proofErr w:type="spellStart"/>
      <w:r w:rsidRPr="00655511">
        <w:rPr>
          <w:rFonts w:ascii="Times New Roman" w:hAnsi="Times New Roman" w:cs="Times New Roman"/>
          <w:sz w:val="20"/>
          <w:szCs w:val="20"/>
          <w:lang w:val="en-US"/>
        </w:rPr>
        <w:t>en</w:t>
      </w:r>
      <w:proofErr w:type="spellEnd"/>
      <w:r w:rsidRPr="00655511">
        <w:rPr>
          <w:rFonts w:ascii="Times New Roman" w:hAnsi="Times New Roman" w:cs="Times New Roman"/>
          <w:sz w:val="20"/>
          <w:szCs w:val="20"/>
          <w:lang w:val="en-US"/>
        </w:rPr>
        <w:t xml:space="preserve"> Europe au début du XXI </w:t>
      </w:r>
      <w:proofErr w:type="spellStart"/>
      <w:r w:rsidRPr="00655511">
        <w:rPr>
          <w:rFonts w:ascii="Times New Roman" w:hAnsi="Times New Roman" w:cs="Times New Roman"/>
          <w:sz w:val="20"/>
          <w:szCs w:val="20"/>
          <w:lang w:val="en-US"/>
        </w:rPr>
        <w:t>sci</w:t>
      </w:r>
      <w:r w:rsidRPr="00655511">
        <w:rPr>
          <w:rStyle w:val="st1"/>
          <w:rFonts w:ascii="Times New Roman" w:hAnsi="Times New Roman" w:cs="Times New Roman"/>
          <w:sz w:val="20"/>
          <w:szCs w:val="20"/>
          <w:lang w:val="en-US"/>
        </w:rPr>
        <w:t>ècle</w:t>
      </w:r>
      <w:proofErr w:type="spellEnd"/>
      <w:r w:rsidRPr="00655511">
        <w:rPr>
          <w:rStyle w:val="st1"/>
          <w:rFonts w:ascii="Times New Roman" w:hAnsi="Times New Roman" w:cs="Times New Roman"/>
          <w:sz w:val="20"/>
          <w:szCs w:val="20"/>
          <w:lang w:val="en-US"/>
        </w:rPr>
        <w:t xml:space="preserve">, pod </w:t>
      </w:r>
      <w:proofErr w:type="spellStart"/>
      <w:r w:rsidRPr="00655511">
        <w:rPr>
          <w:rStyle w:val="st1"/>
          <w:rFonts w:ascii="Times New Roman" w:hAnsi="Times New Roman" w:cs="Times New Roman"/>
          <w:sz w:val="20"/>
          <w:szCs w:val="20"/>
          <w:lang w:val="en-US"/>
        </w:rPr>
        <w:t>redakcją</w:t>
      </w:r>
      <w:proofErr w:type="spellEnd"/>
      <w:r w:rsidRPr="00655511">
        <w:rPr>
          <w:rStyle w:val="st1"/>
          <w:rFonts w:ascii="Times New Roman" w:hAnsi="Times New Roman" w:cs="Times New Roman"/>
          <w:sz w:val="20"/>
          <w:szCs w:val="20"/>
          <w:lang w:val="en-US"/>
        </w:rPr>
        <w:t xml:space="preserve"> Claire </w:t>
      </w:r>
      <w:proofErr w:type="spellStart"/>
      <w:r w:rsidRPr="00655511">
        <w:rPr>
          <w:rStyle w:val="st1"/>
          <w:rFonts w:ascii="Times New Roman" w:hAnsi="Times New Roman" w:cs="Times New Roman"/>
          <w:sz w:val="20"/>
          <w:szCs w:val="20"/>
          <w:lang w:val="en-US"/>
        </w:rPr>
        <w:t>L</w:t>
      </w:r>
      <w:r w:rsidRPr="00655511">
        <w:rPr>
          <w:rFonts w:ascii="Times New Roman" w:hAnsi="Times New Roman" w:cs="Times New Roman"/>
          <w:sz w:val="20"/>
          <w:szCs w:val="20"/>
          <w:lang w:val="en-US"/>
        </w:rPr>
        <w:t>évy-Vroelant</w:t>
      </w:r>
      <w:proofErr w:type="spellEnd"/>
      <w:r w:rsidRPr="00655511">
        <w:rPr>
          <w:rFonts w:ascii="Times New Roman" w:hAnsi="Times New Roman" w:cs="Times New Roman"/>
          <w:sz w:val="20"/>
          <w:szCs w:val="20"/>
          <w:lang w:val="en-US"/>
        </w:rPr>
        <w:t xml:space="preserve"> </w:t>
      </w:r>
      <w:proofErr w:type="spellStart"/>
      <w:r w:rsidRPr="00655511">
        <w:rPr>
          <w:rFonts w:ascii="Times New Roman" w:hAnsi="Times New Roman" w:cs="Times New Roman"/>
          <w:sz w:val="20"/>
          <w:szCs w:val="20"/>
          <w:lang w:val="en-US"/>
        </w:rPr>
        <w:t>i</w:t>
      </w:r>
      <w:proofErr w:type="spellEnd"/>
      <w:r w:rsidRPr="00655511">
        <w:rPr>
          <w:rFonts w:ascii="Times New Roman" w:hAnsi="Times New Roman" w:cs="Times New Roman"/>
          <w:sz w:val="20"/>
          <w:szCs w:val="20"/>
          <w:lang w:val="en-US"/>
        </w:rPr>
        <w:t xml:space="preserve"> Christian </w:t>
      </w:r>
      <w:proofErr w:type="spellStart"/>
      <w:r w:rsidRPr="00655511">
        <w:rPr>
          <w:rFonts w:ascii="Times New Roman" w:hAnsi="Times New Roman" w:cs="Times New Roman"/>
          <w:sz w:val="20"/>
          <w:szCs w:val="20"/>
          <w:lang w:val="en-US"/>
        </w:rPr>
        <w:t>Tutin</w:t>
      </w:r>
      <w:proofErr w:type="spellEnd"/>
      <w:r w:rsidRPr="00655511">
        <w:rPr>
          <w:rFonts w:ascii="Times New Roman" w:hAnsi="Times New Roman" w:cs="Times New Roman"/>
          <w:sz w:val="20"/>
          <w:szCs w:val="20"/>
          <w:lang w:val="en-US"/>
        </w:rPr>
        <w:t xml:space="preserve">, Presses </w:t>
      </w:r>
      <w:proofErr w:type="spellStart"/>
      <w:r w:rsidRPr="00655511">
        <w:rPr>
          <w:rFonts w:ascii="Times New Roman" w:hAnsi="Times New Roman" w:cs="Times New Roman"/>
          <w:sz w:val="20"/>
          <w:szCs w:val="20"/>
          <w:lang w:val="en-US"/>
        </w:rPr>
        <w:t>Universitaires</w:t>
      </w:r>
      <w:proofErr w:type="spellEnd"/>
      <w:r w:rsidRPr="00655511">
        <w:rPr>
          <w:rFonts w:ascii="Times New Roman" w:hAnsi="Times New Roman" w:cs="Times New Roman"/>
          <w:sz w:val="20"/>
          <w:szCs w:val="20"/>
          <w:lang w:val="en-US"/>
        </w:rPr>
        <w:t xml:space="preserve"> de Rennes, 2010; </w:t>
      </w:r>
      <w:proofErr w:type="spellStart"/>
      <w:r w:rsidRPr="00655511">
        <w:rPr>
          <w:rFonts w:ascii="Times New Roman" w:hAnsi="Times New Roman" w:cs="Times New Roman"/>
          <w:sz w:val="20"/>
          <w:szCs w:val="20"/>
          <w:lang w:val="en-US"/>
        </w:rPr>
        <w:t>Loger</w:t>
      </w:r>
      <w:proofErr w:type="spellEnd"/>
      <w:r w:rsidRPr="00655511">
        <w:rPr>
          <w:rFonts w:ascii="Times New Roman" w:hAnsi="Times New Roman" w:cs="Times New Roman"/>
          <w:sz w:val="20"/>
          <w:szCs w:val="20"/>
          <w:lang w:val="en-US"/>
        </w:rPr>
        <w:t xml:space="preserve"> </w:t>
      </w:r>
      <w:proofErr w:type="spellStart"/>
      <w:r w:rsidRPr="00655511">
        <w:rPr>
          <w:rFonts w:ascii="Times New Roman" w:hAnsi="Times New Roman" w:cs="Times New Roman"/>
          <w:sz w:val="20"/>
          <w:szCs w:val="20"/>
          <w:lang w:val="en-US"/>
        </w:rPr>
        <w:t>l`Europe</w:t>
      </w:r>
      <w:proofErr w:type="spellEnd"/>
      <w:r w:rsidRPr="00655511">
        <w:rPr>
          <w:rFonts w:ascii="Times New Roman" w:hAnsi="Times New Roman" w:cs="Times New Roman"/>
          <w:sz w:val="20"/>
          <w:szCs w:val="20"/>
          <w:lang w:val="en-US"/>
        </w:rPr>
        <w:t xml:space="preserve"> – Le </w:t>
      </w:r>
      <w:proofErr w:type="spellStart"/>
      <w:r w:rsidRPr="00655511">
        <w:rPr>
          <w:rFonts w:ascii="Times New Roman" w:hAnsi="Times New Roman" w:cs="Times New Roman"/>
          <w:sz w:val="20"/>
          <w:szCs w:val="20"/>
          <w:lang w:val="en-US"/>
        </w:rPr>
        <w:t>logement</w:t>
      </w:r>
      <w:proofErr w:type="spellEnd"/>
      <w:r w:rsidRPr="00655511">
        <w:rPr>
          <w:rFonts w:ascii="Times New Roman" w:hAnsi="Times New Roman" w:cs="Times New Roman"/>
          <w:sz w:val="20"/>
          <w:szCs w:val="20"/>
          <w:lang w:val="en-US"/>
        </w:rPr>
        <w:t xml:space="preserve"> social </w:t>
      </w:r>
      <w:proofErr w:type="spellStart"/>
      <w:r w:rsidRPr="00655511">
        <w:rPr>
          <w:rFonts w:ascii="Times New Roman" w:hAnsi="Times New Roman" w:cs="Times New Roman"/>
          <w:sz w:val="20"/>
          <w:szCs w:val="20"/>
          <w:lang w:val="en-US"/>
        </w:rPr>
        <w:t>dans</w:t>
      </w:r>
      <w:proofErr w:type="spellEnd"/>
      <w:r w:rsidRPr="00655511">
        <w:rPr>
          <w:rFonts w:ascii="Times New Roman" w:hAnsi="Times New Roman" w:cs="Times New Roman"/>
          <w:sz w:val="20"/>
          <w:szCs w:val="20"/>
          <w:lang w:val="en-US"/>
        </w:rPr>
        <w:t xml:space="preserve"> </w:t>
      </w:r>
      <w:proofErr w:type="spellStart"/>
      <w:r w:rsidRPr="00655511">
        <w:rPr>
          <w:rFonts w:ascii="Times New Roman" w:hAnsi="Times New Roman" w:cs="Times New Roman"/>
          <w:sz w:val="20"/>
          <w:szCs w:val="20"/>
          <w:lang w:val="en-US"/>
        </w:rPr>
        <w:t>tous</w:t>
      </w:r>
      <w:proofErr w:type="spellEnd"/>
      <w:r w:rsidRPr="00655511">
        <w:rPr>
          <w:rFonts w:ascii="Times New Roman" w:hAnsi="Times New Roman" w:cs="Times New Roman"/>
          <w:sz w:val="20"/>
          <w:szCs w:val="20"/>
          <w:lang w:val="en-US"/>
        </w:rPr>
        <w:t xml:space="preserve"> </w:t>
      </w:r>
      <w:proofErr w:type="spellStart"/>
      <w:r w:rsidRPr="00655511">
        <w:rPr>
          <w:rFonts w:ascii="Times New Roman" w:hAnsi="Times New Roman" w:cs="Times New Roman"/>
          <w:sz w:val="20"/>
          <w:szCs w:val="20"/>
          <w:lang w:val="en-US"/>
        </w:rPr>
        <w:t>ses</w:t>
      </w:r>
      <w:proofErr w:type="spellEnd"/>
      <w:r w:rsidRPr="00655511">
        <w:rPr>
          <w:rFonts w:ascii="Times New Roman" w:hAnsi="Times New Roman" w:cs="Times New Roman"/>
          <w:sz w:val="20"/>
          <w:szCs w:val="20"/>
          <w:lang w:val="en-US"/>
        </w:rPr>
        <w:t xml:space="preserve"> </w:t>
      </w:r>
      <w:proofErr w:type="spellStart"/>
      <w:r w:rsidRPr="00655511">
        <w:rPr>
          <w:rFonts w:ascii="Times New Roman" w:hAnsi="Times New Roman" w:cs="Times New Roman"/>
          <w:sz w:val="20"/>
          <w:szCs w:val="20"/>
          <w:lang w:val="en-US"/>
        </w:rPr>
        <w:t>Etats</w:t>
      </w:r>
      <w:proofErr w:type="spellEnd"/>
      <w:r w:rsidRPr="00655511">
        <w:rPr>
          <w:rFonts w:ascii="Times New Roman" w:hAnsi="Times New Roman" w:cs="Times New Roman"/>
          <w:sz w:val="20"/>
          <w:szCs w:val="20"/>
          <w:lang w:val="en-US"/>
        </w:rPr>
        <w:t xml:space="preserve">, </w:t>
      </w:r>
      <w:proofErr w:type="spellStart"/>
      <w:r w:rsidRPr="00655511">
        <w:rPr>
          <w:rFonts w:ascii="Times New Roman" w:hAnsi="Times New Roman" w:cs="Times New Roman"/>
          <w:sz w:val="20"/>
          <w:szCs w:val="20"/>
          <w:lang w:val="en-US"/>
        </w:rPr>
        <w:t>praca</w:t>
      </w:r>
      <w:proofErr w:type="spellEnd"/>
      <w:r w:rsidRPr="00655511">
        <w:rPr>
          <w:rFonts w:ascii="Times New Roman" w:hAnsi="Times New Roman" w:cs="Times New Roman"/>
          <w:sz w:val="20"/>
          <w:szCs w:val="20"/>
          <w:lang w:val="en-US"/>
        </w:rPr>
        <w:t xml:space="preserve"> </w:t>
      </w:r>
      <w:proofErr w:type="spellStart"/>
      <w:r w:rsidRPr="00655511">
        <w:rPr>
          <w:rFonts w:ascii="Times New Roman" w:hAnsi="Times New Roman" w:cs="Times New Roman"/>
          <w:sz w:val="20"/>
          <w:szCs w:val="20"/>
          <w:lang w:val="en-US"/>
        </w:rPr>
        <w:t>zbiorowa</w:t>
      </w:r>
      <w:proofErr w:type="spellEnd"/>
      <w:r w:rsidRPr="00655511">
        <w:rPr>
          <w:rFonts w:ascii="Times New Roman" w:hAnsi="Times New Roman" w:cs="Times New Roman"/>
          <w:sz w:val="20"/>
          <w:szCs w:val="20"/>
          <w:lang w:val="en-US"/>
        </w:rPr>
        <w:t xml:space="preserve">, </w:t>
      </w:r>
      <w:smartTag w:uri="urn:schemas-microsoft-com:office:smarttags" w:element="PersonName">
        <w:smartTagPr>
          <w:attr w:name="ProductID" w:val="La Documentation Francaise"/>
        </w:smartTagPr>
        <w:r w:rsidRPr="00655511">
          <w:rPr>
            <w:rFonts w:ascii="Times New Roman" w:hAnsi="Times New Roman" w:cs="Times New Roman"/>
            <w:sz w:val="20"/>
            <w:szCs w:val="20"/>
            <w:lang w:val="en-US"/>
          </w:rPr>
          <w:t xml:space="preserve">La Documentation </w:t>
        </w:r>
        <w:proofErr w:type="spellStart"/>
        <w:r w:rsidRPr="00655511">
          <w:rPr>
            <w:rFonts w:ascii="Times New Roman" w:hAnsi="Times New Roman" w:cs="Times New Roman"/>
            <w:sz w:val="20"/>
            <w:szCs w:val="20"/>
            <w:lang w:val="en-US"/>
          </w:rPr>
          <w:t>Francaise</w:t>
        </w:r>
      </w:smartTag>
      <w:proofErr w:type="spellEnd"/>
      <w:r w:rsidRPr="00655511">
        <w:rPr>
          <w:rFonts w:ascii="Times New Roman" w:hAnsi="Times New Roman" w:cs="Times New Roman"/>
          <w:sz w:val="20"/>
          <w:szCs w:val="20"/>
          <w:lang w:val="en-US"/>
        </w:rPr>
        <w:t>, 2011; Policies to promote access to good-quality affordable housing, DELSA/ELSA/WP1(2014)1.</w:t>
      </w:r>
    </w:p>
  </w:footnote>
  <w:footnote w:id="15">
    <w:p w:rsidR="00001D9A" w:rsidRPr="002247E9" w:rsidRDefault="00001D9A" w:rsidP="008D10D8">
      <w:pPr>
        <w:pStyle w:val="Tekstprzypisudolnego"/>
        <w:ind w:left="196" w:hanging="196"/>
        <w:jc w:val="both"/>
        <w:rPr>
          <w:rFonts w:ascii="Times New Roman" w:hAnsi="Times New Roman"/>
        </w:rPr>
      </w:pPr>
      <w:r w:rsidRPr="002247E9">
        <w:rPr>
          <w:rFonts w:ascii="Times New Roman" w:hAnsi="Times New Roman"/>
          <w:vertAlign w:val="superscript"/>
        </w:rPr>
        <w:footnoteRef/>
      </w:r>
      <w:r>
        <w:rPr>
          <w:rFonts w:ascii="Times New Roman" w:hAnsi="Times New Roman"/>
        </w:rPr>
        <w:t>)</w:t>
      </w:r>
      <w:r w:rsidRPr="002247E9">
        <w:rPr>
          <w:rFonts w:ascii="Times New Roman" w:hAnsi="Times New Roman"/>
          <w:vertAlign w:val="superscript"/>
        </w:rPr>
        <w:t xml:space="preserve"> </w:t>
      </w:r>
      <w:r w:rsidRPr="002247E9">
        <w:rPr>
          <w:rFonts w:ascii="Times New Roman" w:hAnsi="Times New Roman"/>
        </w:rPr>
        <w:t>Szacowana skala oddziaływania projektu dotyczy lokatorów mieszkań społecznych czynszowych wybudowanych w ramach 10</w:t>
      </w:r>
      <w:r>
        <w:rPr>
          <w:rFonts w:ascii="Times New Roman" w:hAnsi="Times New Roman"/>
        </w:rPr>
        <w:t> </w:t>
      </w:r>
      <w:r w:rsidRPr="002247E9">
        <w:rPr>
          <w:rFonts w:ascii="Times New Roman" w:hAnsi="Times New Roman"/>
        </w:rPr>
        <w:t>edycji nowego programu wsparcia. Liczba pomija dodatkowy efekt wynikający z rotacyjnego charakteru mieszkań czynszowych, wynajmowanych na warunkach preferencyjnych wyłącznie uprawnionym dochodowo gospodarstwom domowym – w przypadku trwałej poprawy warunków dochodowych w gospodarstwie domowym najemcy programu i związanej z tym decyzji o rozwiązaniu umowy najmu zwalniane mieszkanie będzie udostępniane na warunkach preferencyjnych kolejnym gospodarstwom domowym.</w:t>
      </w:r>
    </w:p>
  </w:footnote>
  <w:footnote w:id="16">
    <w:p w:rsidR="00001D9A" w:rsidRPr="002247E9" w:rsidRDefault="00001D9A" w:rsidP="008D10D8">
      <w:pPr>
        <w:pStyle w:val="Tekstprzypisudolnego"/>
        <w:ind w:left="224" w:hanging="224"/>
        <w:jc w:val="both"/>
        <w:rPr>
          <w:rFonts w:ascii="Times New Roman" w:hAnsi="Times New Roman" w:cs="Times New Roman"/>
        </w:rPr>
      </w:pPr>
      <w:r w:rsidRPr="002247E9">
        <w:rPr>
          <w:rStyle w:val="Odwoanieprzypisudolnego"/>
          <w:rFonts w:ascii="Times New Roman" w:hAnsi="Times New Roman" w:cs="Times New Roman"/>
        </w:rPr>
        <w:footnoteRef/>
      </w:r>
      <w:r>
        <w:rPr>
          <w:rFonts w:ascii="Times New Roman" w:hAnsi="Times New Roman" w:cs="Times New Roman"/>
          <w:vertAlign w:val="superscript"/>
        </w:rPr>
        <w:t>)</w:t>
      </w:r>
      <w:r w:rsidRPr="002247E9">
        <w:rPr>
          <w:rFonts w:ascii="Times New Roman" w:hAnsi="Times New Roman" w:cs="Times New Roman"/>
        </w:rPr>
        <w:t xml:space="preserve"> Zakłada się, że środki pokrywające zapotrzebowanie na dotację w pierwszym i ew. częściowo drugim roku programu zostaną pokryte ze środków pochodzących ze spłat do Funduszu Dopłat części umorzenia kredytów z b. KFM, dokonywanych w związku z wykupem mieszkań w spółdzielniach – zasilenie budżetowe programu w tym okresie może nie być wymagane.</w:t>
      </w:r>
    </w:p>
  </w:footnote>
  <w:footnote w:id="17">
    <w:p w:rsidR="00001D9A" w:rsidRPr="002247E9" w:rsidRDefault="00001D9A" w:rsidP="008D10D8">
      <w:pPr>
        <w:pStyle w:val="Tekstprzypisudolnego"/>
        <w:ind w:left="224" w:hanging="224"/>
        <w:jc w:val="both"/>
        <w:rPr>
          <w:rFonts w:ascii="Times New Roman" w:hAnsi="Times New Roman" w:cs="Times New Roman"/>
        </w:rPr>
      </w:pPr>
      <w:r w:rsidRPr="002247E9">
        <w:rPr>
          <w:rStyle w:val="Odwoanieprzypisudolnego"/>
          <w:rFonts w:ascii="Times New Roman" w:hAnsi="Times New Roman" w:cs="Times New Roman"/>
        </w:rPr>
        <w:footnoteRef/>
      </w:r>
      <w:r>
        <w:rPr>
          <w:rFonts w:ascii="Times New Roman" w:hAnsi="Times New Roman" w:cs="Times New Roman"/>
          <w:vertAlign w:val="superscript"/>
        </w:rPr>
        <w:t>)</w:t>
      </w:r>
      <w:r w:rsidRPr="002247E9">
        <w:rPr>
          <w:rFonts w:ascii="Times New Roman" w:hAnsi="Times New Roman" w:cs="Times New Roman"/>
        </w:rPr>
        <w:t xml:space="preserve"> Opracowanie koncepcji programu poprzedziła ocena prognozowanego poziomu i struktury wydatków na mieszkalnictwo w okresie najbliższych lat, której celem było określenie modelu finansowania programu, który nie będzie powodował wzrostu obecnego poziomu wydatków ponoszonych w ramach części 18. – kwestia ta została omówiona w uzasadnieniu do projektu ustawy.</w:t>
      </w:r>
    </w:p>
  </w:footnote>
  <w:footnote w:id="18">
    <w:p w:rsidR="00001D9A" w:rsidRPr="002247E9" w:rsidRDefault="00001D9A" w:rsidP="00F749A5">
      <w:pPr>
        <w:pStyle w:val="Tekstprzypisudolnego"/>
        <w:rPr>
          <w:rFonts w:ascii="Times New Roman" w:hAnsi="Times New Roman"/>
        </w:rPr>
      </w:pPr>
      <w:r w:rsidRPr="002247E9">
        <w:rPr>
          <w:rStyle w:val="Odwoanieprzypisudolnego"/>
          <w:rFonts w:ascii="Times New Roman" w:hAnsi="Times New Roman"/>
        </w:rPr>
        <w:footnoteRef/>
      </w:r>
      <w:r>
        <w:rPr>
          <w:rFonts w:ascii="Times New Roman" w:hAnsi="Times New Roman"/>
          <w:vertAlign w:val="superscript"/>
        </w:rPr>
        <w:t>)</w:t>
      </w:r>
      <w:r w:rsidRPr="002247E9">
        <w:rPr>
          <w:rFonts w:ascii="Times New Roman" w:hAnsi="Times New Roman"/>
        </w:rPr>
        <w:t xml:space="preserve"> Dotyczy łącznej kwoty preferencyjnych kredytów udzielanych w ramach programu.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369"/>
    <w:multiLevelType w:val="hybridMultilevel"/>
    <w:tmpl w:val="BA0CD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B535A0"/>
    <w:multiLevelType w:val="hybridMultilevel"/>
    <w:tmpl w:val="169814DA"/>
    <w:lvl w:ilvl="0" w:tplc="FA8A200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E811F1"/>
    <w:multiLevelType w:val="hybridMultilevel"/>
    <w:tmpl w:val="0D3040A6"/>
    <w:lvl w:ilvl="0" w:tplc="B3183D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814E42"/>
    <w:multiLevelType w:val="multilevel"/>
    <w:tmpl w:val="EDCC2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9544F9"/>
    <w:multiLevelType w:val="hybridMultilevel"/>
    <w:tmpl w:val="8796299C"/>
    <w:lvl w:ilvl="0" w:tplc="CEC022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CE6D48"/>
    <w:multiLevelType w:val="hybridMultilevel"/>
    <w:tmpl w:val="819222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B26405"/>
    <w:multiLevelType w:val="hybridMultilevel"/>
    <w:tmpl w:val="E0B072B4"/>
    <w:lvl w:ilvl="0" w:tplc="CEC022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977635"/>
    <w:multiLevelType w:val="hybridMultilevel"/>
    <w:tmpl w:val="6770CA7A"/>
    <w:lvl w:ilvl="0" w:tplc="B3183D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1B05164"/>
    <w:multiLevelType w:val="hybridMultilevel"/>
    <w:tmpl w:val="6F544486"/>
    <w:lvl w:ilvl="0" w:tplc="CEC022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951E77"/>
    <w:multiLevelType w:val="hybridMultilevel"/>
    <w:tmpl w:val="0340E9F0"/>
    <w:lvl w:ilvl="0" w:tplc="2610BC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DD6162"/>
    <w:multiLevelType w:val="hybridMultilevel"/>
    <w:tmpl w:val="67547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FF6532"/>
    <w:multiLevelType w:val="hybridMultilevel"/>
    <w:tmpl w:val="E3EC60B6"/>
    <w:lvl w:ilvl="0" w:tplc="27008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857794D"/>
    <w:multiLevelType w:val="hybridMultilevel"/>
    <w:tmpl w:val="9C8AD6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93366F2"/>
    <w:multiLevelType w:val="hybridMultilevel"/>
    <w:tmpl w:val="D7CEB6EC"/>
    <w:lvl w:ilvl="0" w:tplc="4482A9D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380D4D"/>
    <w:multiLevelType w:val="multilevel"/>
    <w:tmpl w:val="0D38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1B3039"/>
    <w:multiLevelType w:val="hybridMultilevel"/>
    <w:tmpl w:val="2D440A7C"/>
    <w:lvl w:ilvl="0" w:tplc="FA8A200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DA2586A"/>
    <w:multiLevelType w:val="hybridMultilevel"/>
    <w:tmpl w:val="25BAAEEC"/>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90431D"/>
    <w:multiLevelType w:val="hybridMultilevel"/>
    <w:tmpl w:val="F09C4CC6"/>
    <w:lvl w:ilvl="0" w:tplc="27008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2A64B81"/>
    <w:multiLevelType w:val="hybridMultilevel"/>
    <w:tmpl w:val="CFFC7768"/>
    <w:lvl w:ilvl="0" w:tplc="27008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6C43D9E"/>
    <w:multiLevelType w:val="hybridMultilevel"/>
    <w:tmpl w:val="8B407F0A"/>
    <w:lvl w:ilvl="0" w:tplc="FA8A200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82C2BE1"/>
    <w:multiLevelType w:val="hybridMultilevel"/>
    <w:tmpl w:val="02B2DF70"/>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92A41E7"/>
    <w:multiLevelType w:val="hybridMultilevel"/>
    <w:tmpl w:val="61B02302"/>
    <w:lvl w:ilvl="0" w:tplc="5AFE186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6730DB"/>
    <w:multiLevelType w:val="hybridMultilevel"/>
    <w:tmpl w:val="FC10B8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805A19"/>
    <w:multiLevelType w:val="hybridMultilevel"/>
    <w:tmpl w:val="4F7A5D4E"/>
    <w:lvl w:ilvl="0" w:tplc="FA8A200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2947B4A"/>
    <w:multiLevelType w:val="hybridMultilevel"/>
    <w:tmpl w:val="5866C4CE"/>
    <w:lvl w:ilvl="0" w:tplc="27008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7001FFD"/>
    <w:multiLevelType w:val="hybridMultilevel"/>
    <w:tmpl w:val="0EECF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2A1A59"/>
    <w:multiLevelType w:val="hybridMultilevel"/>
    <w:tmpl w:val="A004522C"/>
    <w:lvl w:ilvl="0" w:tplc="FA8A200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64553D"/>
    <w:multiLevelType w:val="hybridMultilevel"/>
    <w:tmpl w:val="04405F22"/>
    <w:lvl w:ilvl="0" w:tplc="2742837A">
      <w:start w:val="1"/>
      <w:numFmt w:val="decimal"/>
      <w:lvlText w:val="%1)"/>
      <w:lvlJc w:val="left"/>
      <w:pPr>
        <w:ind w:left="1080" w:hanging="720"/>
      </w:pPr>
      <w:rPr>
        <w:rFonts w:ascii="Times New Roman" w:hAnsi="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1F6AFB"/>
    <w:multiLevelType w:val="hybridMultilevel"/>
    <w:tmpl w:val="BE0C88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283715"/>
    <w:multiLevelType w:val="hybridMultilevel"/>
    <w:tmpl w:val="DACEB3B4"/>
    <w:lvl w:ilvl="0" w:tplc="CEC022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8578EF"/>
    <w:multiLevelType w:val="hybridMultilevel"/>
    <w:tmpl w:val="731C967E"/>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5D767AC"/>
    <w:multiLevelType w:val="hybridMultilevel"/>
    <w:tmpl w:val="E1A0514C"/>
    <w:lvl w:ilvl="0" w:tplc="27008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A010E9A"/>
    <w:multiLevelType w:val="hybridMultilevel"/>
    <w:tmpl w:val="E8C46956"/>
    <w:lvl w:ilvl="0" w:tplc="AB740A9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C54292"/>
    <w:multiLevelType w:val="hybridMultilevel"/>
    <w:tmpl w:val="8EA26BE8"/>
    <w:lvl w:ilvl="0" w:tplc="FA8A200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534410C"/>
    <w:multiLevelType w:val="hybridMultilevel"/>
    <w:tmpl w:val="3C3632E6"/>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542561F"/>
    <w:multiLevelType w:val="hybridMultilevel"/>
    <w:tmpl w:val="D8360F34"/>
    <w:lvl w:ilvl="0" w:tplc="FA8A200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56D57A9"/>
    <w:multiLevelType w:val="hybridMultilevel"/>
    <w:tmpl w:val="8712266E"/>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ED659E7"/>
    <w:multiLevelType w:val="hybridMultilevel"/>
    <w:tmpl w:val="723E3D6A"/>
    <w:lvl w:ilvl="0" w:tplc="FA8A200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4221D01"/>
    <w:multiLevelType w:val="hybridMultilevel"/>
    <w:tmpl w:val="82A2EE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7F60F6"/>
    <w:multiLevelType w:val="hybridMultilevel"/>
    <w:tmpl w:val="1CEAC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D5459BA"/>
    <w:multiLevelType w:val="hybridMultilevel"/>
    <w:tmpl w:val="F0381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971AEA"/>
    <w:multiLevelType w:val="hybridMultilevel"/>
    <w:tmpl w:val="F6F24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0"/>
  </w:num>
  <w:num w:numId="3">
    <w:abstractNumId w:val="30"/>
  </w:num>
  <w:num w:numId="4">
    <w:abstractNumId w:val="10"/>
  </w:num>
  <w:num w:numId="5">
    <w:abstractNumId w:val="31"/>
  </w:num>
  <w:num w:numId="6">
    <w:abstractNumId w:val="16"/>
  </w:num>
  <w:num w:numId="7">
    <w:abstractNumId w:val="34"/>
  </w:num>
  <w:num w:numId="8">
    <w:abstractNumId w:val="7"/>
  </w:num>
  <w:num w:numId="9">
    <w:abstractNumId w:val="5"/>
  </w:num>
  <w:num w:numId="10">
    <w:abstractNumId w:val="22"/>
  </w:num>
  <w:num w:numId="11">
    <w:abstractNumId w:val="2"/>
  </w:num>
  <w:num w:numId="12">
    <w:abstractNumId w:val="35"/>
  </w:num>
  <w:num w:numId="13">
    <w:abstractNumId w:val="26"/>
  </w:num>
  <w:num w:numId="14">
    <w:abstractNumId w:val="19"/>
  </w:num>
  <w:num w:numId="15">
    <w:abstractNumId w:val="28"/>
  </w:num>
  <w:num w:numId="16">
    <w:abstractNumId w:val="8"/>
  </w:num>
  <w:num w:numId="17">
    <w:abstractNumId w:val="23"/>
  </w:num>
  <w:num w:numId="18">
    <w:abstractNumId w:val="29"/>
  </w:num>
  <w:num w:numId="19">
    <w:abstractNumId w:val="1"/>
  </w:num>
  <w:num w:numId="20">
    <w:abstractNumId w:val="4"/>
  </w:num>
  <w:num w:numId="21">
    <w:abstractNumId w:val="37"/>
  </w:num>
  <w:num w:numId="22">
    <w:abstractNumId w:val="12"/>
  </w:num>
  <w:num w:numId="23">
    <w:abstractNumId w:val="9"/>
  </w:num>
  <w:num w:numId="24">
    <w:abstractNumId w:val="32"/>
  </w:num>
  <w:num w:numId="25">
    <w:abstractNumId w:val="36"/>
  </w:num>
  <w:num w:numId="26">
    <w:abstractNumId w:val="20"/>
  </w:num>
  <w:num w:numId="27">
    <w:abstractNumId w:val="38"/>
  </w:num>
  <w:num w:numId="28">
    <w:abstractNumId w:val="18"/>
  </w:num>
  <w:num w:numId="29">
    <w:abstractNumId w:val="33"/>
  </w:num>
  <w:num w:numId="30">
    <w:abstractNumId w:val="6"/>
  </w:num>
  <w:num w:numId="31">
    <w:abstractNumId w:val="13"/>
  </w:num>
  <w:num w:numId="32">
    <w:abstractNumId w:val="24"/>
  </w:num>
  <w:num w:numId="33">
    <w:abstractNumId w:val="11"/>
  </w:num>
  <w:num w:numId="34">
    <w:abstractNumId w:val="17"/>
  </w:num>
  <w:num w:numId="35">
    <w:abstractNumId w:val="15"/>
  </w:num>
  <w:num w:numId="36">
    <w:abstractNumId w:val="3"/>
  </w:num>
  <w:num w:numId="37">
    <w:abstractNumId w:val="14"/>
  </w:num>
  <w:num w:numId="38">
    <w:abstractNumId w:val="21"/>
  </w:num>
  <w:num w:numId="39">
    <w:abstractNumId w:val="27"/>
  </w:num>
  <w:num w:numId="40">
    <w:abstractNumId w:val="25"/>
  </w:num>
  <w:num w:numId="41">
    <w:abstractNumId w:val="4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7C"/>
    <w:rsid w:val="00001D9A"/>
    <w:rsid w:val="000020A0"/>
    <w:rsid w:val="0000388F"/>
    <w:rsid w:val="000042BB"/>
    <w:rsid w:val="0001044B"/>
    <w:rsid w:val="00012164"/>
    <w:rsid w:val="00013372"/>
    <w:rsid w:val="00020AF5"/>
    <w:rsid w:val="000275D1"/>
    <w:rsid w:val="00027895"/>
    <w:rsid w:val="00030F70"/>
    <w:rsid w:val="000330F0"/>
    <w:rsid w:val="000364B2"/>
    <w:rsid w:val="0003694A"/>
    <w:rsid w:val="0004049B"/>
    <w:rsid w:val="00040C26"/>
    <w:rsid w:val="000447F9"/>
    <w:rsid w:val="000468DD"/>
    <w:rsid w:val="00046A57"/>
    <w:rsid w:val="000513C1"/>
    <w:rsid w:val="00052538"/>
    <w:rsid w:val="000558B9"/>
    <w:rsid w:val="000562B0"/>
    <w:rsid w:val="000575E1"/>
    <w:rsid w:val="0006389E"/>
    <w:rsid w:val="00063C75"/>
    <w:rsid w:val="00063D77"/>
    <w:rsid w:val="000657BD"/>
    <w:rsid w:val="00065A0C"/>
    <w:rsid w:val="00067F29"/>
    <w:rsid w:val="00070638"/>
    <w:rsid w:val="00071E73"/>
    <w:rsid w:val="0007492C"/>
    <w:rsid w:val="00075344"/>
    <w:rsid w:val="00075D3A"/>
    <w:rsid w:val="00080AD8"/>
    <w:rsid w:val="000859CF"/>
    <w:rsid w:val="00086D20"/>
    <w:rsid w:val="00087150"/>
    <w:rsid w:val="0008761A"/>
    <w:rsid w:val="0009477B"/>
    <w:rsid w:val="00094F15"/>
    <w:rsid w:val="00097B97"/>
    <w:rsid w:val="000A203E"/>
    <w:rsid w:val="000A4F40"/>
    <w:rsid w:val="000B0E55"/>
    <w:rsid w:val="000B1FEF"/>
    <w:rsid w:val="000B2817"/>
    <w:rsid w:val="000C027D"/>
    <w:rsid w:val="000C190E"/>
    <w:rsid w:val="000C228F"/>
    <w:rsid w:val="000C3AEE"/>
    <w:rsid w:val="000C6EDF"/>
    <w:rsid w:val="000C71CB"/>
    <w:rsid w:val="000D371F"/>
    <w:rsid w:val="000D4550"/>
    <w:rsid w:val="000D5CAB"/>
    <w:rsid w:val="000D5FB0"/>
    <w:rsid w:val="000E28B9"/>
    <w:rsid w:val="000E746F"/>
    <w:rsid w:val="000F5BD4"/>
    <w:rsid w:val="001001E9"/>
    <w:rsid w:val="001025DC"/>
    <w:rsid w:val="00104C7F"/>
    <w:rsid w:val="00110ABA"/>
    <w:rsid w:val="00113051"/>
    <w:rsid w:val="0011799F"/>
    <w:rsid w:val="0012362A"/>
    <w:rsid w:val="00125B3A"/>
    <w:rsid w:val="00131BB3"/>
    <w:rsid w:val="00144473"/>
    <w:rsid w:val="00144B71"/>
    <w:rsid w:val="00145203"/>
    <w:rsid w:val="00145B84"/>
    <w:rsid w:val="00146E81"/>
    <w:rsid w:val="001513B1"/>
    <w:rsid w:val="0015371A"/>
    <w:rsid w:val="00155742"/>
    <w:rsid w:val="00155BFF"/>
    <w:rsid w:val="001638FC"/>
    <w:rsid w:val="00167D95"/>
    <w:rsid w:val="00172593"/>
    <w:rsid w:val="00177E12"/>
    <w:rsid w:val="00186A52"/>
    <w:rsid w:val="00194304"/>
    <w:rsid w:val="00197556"/>
    <w:rsid w:val="001A1380"/>
    <w:rsid w:val="001A1D41"/>
    <w:rsid w:val="001A69C0"/>
    <w:rsid w:val="001B11DE"/>
    <w:rsid w:val="001B2A2D"/>
    <w:rsid w:val="001B383E"/>
    <w:rsid w:val="001B47F3"/>
    <w:rsid w:val="001B6C6D"/>
    <w:rsid w:val="001C2951"/>
    <w:rsid w:val="001C475C"/>
    <w:rsid w:val="001D535C"/>
    <w:rsid w:val="001E036A"/>
    <w:rsid w:val="001E08D2"/>
    <w:rsid w:val="001E1876"/>
    <w:rsid w:val="001E2186"/>
    <w:rsid w:val="001E24E7"/>
    <w:rsid w:val="001E2CC8"/>
    <w:rsid w:val="001E63F2"/>
    <w:rsid w:val="001E6D5F"/>
    <w:rsid w:val="001F0EA3"/>
    <w:rsid w:val="001F1AB1"/>
    <w:rsid w:val="001F3592"/>
    <w:rsid w:val="001F4931"/>
    <w:rsid w:val="001F57BA"/>
    <w:rsid w:val="001F76F8"/>
    <w:rsid w:val="00205287"/>
    <w:rsid w:val="00210B13"/>
    <w:rsid w:val="002130FD"/>
    <w:rsid w:val="00214193"/>
    <w:rsid w:val="00216295"/>
    <w:rsid w:val="00223053"/>
    <w:rsid w:val="0022391A"/>
    <w:rsid w:val="002247E9"/>
    <w:rsid w:val="002311C8"/>
    <w:rsid w:val="00231A71"/>
    <w:rsid w:val="0023572F"/>
    <w:rsid w:val="0024337B"/>
    <w:rsid w:val="00250E84"/>
    <w:rsid w:val="00253563"/>
    <w:rsid w:val="00254542"/>
    <w:rsid w:val="00254BEB"/>
    <w:rsid w:val="002561CA"/>
    <w:rsid w:val="00263208"/>
    <w:rsid w:val="00265EDB"/>
    <w:rsid w:val="0027384D"/>
    <w:rsid w:val="00281B4A"/>
    <w:rsid w:val="00284984"/>
    <w:rsid w:val="00284E11"/>
    <w:rsid w:val="00290204"/>
    <w:rsid w:val="00292440"/>
    <w:rsid w:val="0029431E"/>
    <w:rsid w:val="00296255"/>
    <w:rsid w:val="002A3149"/>
    <w:rsid w:val="002A5060"/>
    <w:rsid w:val="002A7E20"/>
    <w:rsid w:val="002B0B09"/>
    <w:rsid w:val="002B5D56"/>
    <w:rsid w:val="002B762A"/>
    <w:rsid w:val="002B7BCF"/>
    <w:rsid w:val="002C2525"/>
    <w:rsid w:val="002C6A8D"/>
    <w:rsid w:val="002D2B08"/>
    <w:rsid w:val="002E1A54"/>
    <w:rsid w:val="002E307A"/>
    <w:rsid w:val="002E328B"/>
    <w:rsid w:val="002E4EBA"/>
    <w:rsid w:val="002F2096"/>
    <w:rsid w:val="002F507A"/>
    <w:rsid w:val="003018FE"/>
    <w:rsid w:val="00303CC7"/>
    <w:rsid w:val="0030693A"/>
    <w:rsid w:val="0030717B"/>
    <w:rsid w:val="003134A4"/>
    <w:rsid w:val="00316FE7"/>
    <w:rsid w:val="00323C72"/>
    <w:rsid w:val="00333CEF"/>
    <w:rsid w:val="003367F9"/>
    <w:rsid w:val="00344528"/>
    <w:rsid w:val="00344CB8"/>
    <w:rsid w:val="003475BB"/>
    <w:rsid w:val="00347B52"/>
    <w:rsid w:val="0035169A"/>
    <w:rsid w:val="00355651"/>
    <w:rsid w:val="00355F1D"/>
    <w:rsid w:val="003560A1"/>
    <w:rsid w:val="0036000A"/>
    <w:rsid w:val="003608E2"/>
    <w:rsid w:val="00360BBB"/>
    <w:rsid w:val="003671B0"/>
    <w:rsid w:val="00373018"/>
    <w:rsid w:val="00373B7F"/>
    <w:rsid w:val="00373CD2"/>
    <w:rsid w:val="00373ED6"/>
    <w:rsid w:val="0037595A"/>
    <w:rsid w:val="00376A64"/>
    <w:rsid w:val="00376DE2"/>
    <w:rsid w:val="003771CD"/>
    <w:rsid w:val="003777B8"/>
    <w:rsid w:val="00377A1F"/>
    <w:rsid w:val="00382548"/>
    <w:rsid w:val="00382867"/>
    <w:rsid w:val="003830AE"/>
    <w:rsid w:val="00383749"/>
    <w:rsid w:val="003840F0"/>
    <w:rsid w:val="003852D8"/>
    <w:rsid w:val="003915DE"/>
    <w:rsid w:val="003945B8"/>
    <w:rsid w:val="0039474D"/>
    <w:rsid w:val="003947A0"/>
    <w:rsid w:val="003A04E1"/>
    <w:rsid w:val="003A19F6"/>
    <w:rsid w:val="003A1CB8"/>
    <w:rsid w:val="003B033E"/>
    <w:rsid w:val="003B4072"/>
    <w:rsid w:val="003B4B36"/>
    <w:rsid w:val="003B4F4C"/>
    <w:rsid w:val="003C092C"/>
    <w:rsid w:val="003C18FC"/>
    <w:rsid w:val="003D03C2"/>
    <w:rsid w:val="003D3AB6"/>
    <w:rsid w:val="003D7597"/>
    <w:rsid w:val="003E00FD"/>
    <w:rsid w:val="003E1570"/>
    <w:rsid w:val="003E17E9"/>
    <w:rsid w:val="003E1F98"/>
    <w:rsid w:val="003E20A6"/>
    <w:rsid w:val="003E3A80"/>
    <w:rsid w:val="003E5EEE"/>
    <w:rsid w:val="003E6D84"/>
    <w:rsid w:val="003F23D3"/>
    <w:rsid w:val="003F4170"/>
    <w:rsid w:val="00402E88"/>
    <w:rsid w:val="00405C78"/>
    <w:rsid w:val="0040760E"/>
    <w:rsid w:val="00410B95"/>
    <w:rsid w:val="0041410F"/>
    <w:rsid w:val="0041425A"/>
    <w:rsid w:val="00415031"/>
    <w:rsid w:val="00415353"/>
    <w:rsid w:val="00415DA3"/>
    <w:rsid w:val="00421E98"/>
    <w:rsid w:val="00423BFB"/>
    <w:rsid w:val="00426423"/>
    <w:rsid w:val="00431011"/>
    <w:rsid w:val="004313E1"/>
    <w:rsid w:val="00433DFB"/>
    <w:rsid w:val="00436F41"/>
    <w:rsid w:val="00440D6A"/>
    <w:rsid w:val="0044159E"/>
    <w:rsid w:val="004415E8"/>
    <w:rsid w:val="004447C4"/>
    <w:rsid w:val="00445616"/>
    <w:rsid w:val="00445CF0"/>
    <w:rsid w:val="00447EA0"/>
    <w:rsid w:val="00451D1B"/>
    <w:rsid w:val="00452D98"/>
    <w:rsid w:val="004539DB"/>
    <w:rsid w:val="00454C25"/>
    <w:rsid w:val="00461DFE"/>
    <w:rsid w:val="004635F5"/>
    <w:rsid w:val="00465A4D"/>
    <w:rsid w:val="004724C2"/>
    <w:rsid w:val="0047442E"/>
    <w:rsid w:val="0047613D"/>
    <w:rsid w:val="00476E46"/>
    <w:rsid w:val="00477B9B"/>
    <w:rsid w:val="00480349"/>
    <w:rsid w:val="00481282"/>
    <w:rsid w:val="00481781"/>
    <w:rsid w:val="00483419"/>
    <w:rsid w:val="00483864"/>
    <w:rsid w:val="00486037"/>
    <w:rsid w:val="0048738F"/>
    <w:rsid w:val="004935E4"/>
    <w:rsid w:val="004937E8"/>
    <w:rsid w:val="004A5641"/>
    <w:rsid w:val="004A6D34"/>
    <w:rsid w:val="004A6DC6"/>
    <w:rsid w:val="004B470F"/>
    <w:rsid w:val="004B59FB"/>
    <w:rsid w:val="004B730F"/>
    <w:rsid w:val="004C42BD"/>
    <w:rsid w:val="004C5BCC"/>
    <w:rsid w:val="004D26DE"/>
    <w:rsid w:val="004D36DA"/>
    <w:rsid w:val="004D3F85"/>
    <w:rsid w:val="004D458B"/>
    <w:rsid w:val="004D7F6B"/>
    <w:rsid w:val="004E7D2D"/>
    <w:rsid w:val="004F408C"/>
    <w:rsid w:val="004F48CA"/>
    <w:rsid w:val="004F7240"/>
    <w:rsid w:val="004F78DC"/>
    <w:rsid w:val="0050234B"/>
    <w:rsid w:val="00506DB1"/>
    <w:rsid w:val="005109E5"/>
    <w:rsid w:val="00513F40"/>
    <w:rsid w:val="005155CE"/>
    <w:rsid w:val="00521E94"/>
    <w:rsid w:val="00526256"/>
    <w:rsid w:val="00531751"/>
    <w:rsid w:val="005368D3"/>
    <w:rsid w:val="00543ED1"/>
    <w:rsid w:val="00546627"/>
    <w:rsid w:val="005472D3"/>
    <w:rsid w:val="005523BF"/>
    <w:rsid w:val="00554374"/>
    <w:rsid w:val="00561802"/>
    <w:rsid w:val="00565BC4"/>
    <w:rsid w:val="00566194"/>
    <w:rsid w:val="00575418"/>
    <w:rsid w:val="005777CC"/>
    <w:rsid w:val="0058213F"/>
    <w:rsid w:val="005849CE"/>
    <w:rsid w:val="00586D9E"/>
    <w:rsid w:val="00586E8F"/>
    <w:rsid w:val="00595EFA"/>
    <w:rsid w:val="005A21E2"/>
    <w:rsid w:val="005A2F31"/>
    <w:rsid w:val="005A665D"/>
    <w:rsid w:val="005B5085"/>
    <w:rsid w:val="005B5404"/>
    <w:rsid w:val="005B6A40"/>
    <w:rsid w:val="005B7F40"/>
    <w:rsid w:val="005C3FCD"/>
    <w:rsid w:val="005C72EC"/>
    <w:rsid w:val="005C7CF2"/>
    <w:rsid w:val="005D2573"/>
    <w:rsid w:val="005D3157"/>
    <w:rsid w:val="005D490D"/>
    <w:rsid w:val="005D4BA0"/>
    <w:rsid w:val="005D57BB"/>
    <w:rsid w:val="005D6EAC"/>
    <w:rsid w:val="005E46A6"/>
    <w:rsid w:val="005F0F8A"/>
    <w:rsid w:val="005F3144"/>
    <w:rsid w:val="005F427D"/>
    <w:rsid w:val="005F4B71"/>
    <w:rsid w:val="005F5CB1"/>
    <w:rsid w:val="00604649"/>
    <w:rsid w:val="006048B5"/>
    <w:rsid w:val="00610D85"/>
    <w:rsid w:val="00617893"/>
    <w:rsid w:val="00617BA8"/>
    <w:rsid w:val="00620DE6"/>
    <w:rsid w:val="00622921"/>
    <w:rsid w:val="00625DF9"/>
    <w:rsid w:val="00630086"/>
    <w:rsid w:val="006349DE"/>
    <w:rsid w:val="0063579B"/>
    <w:rsid w:val="006377C4"/>
    <w:rsid w:val="006412AE"/>
    <w:rsid w:val="00643AF2"/>
    <w:rsid w:val="00644C3D"/>
    <w:rsid w:val="00644FEB"/>
    <w:rsid w:val="00655511"/>
    <w:rsid w:val="006601BA"/>
    <w:rsid w:val="00662A28"/>
    <w:rsid w:val="00665525"/>
    <w:rsid w:val="00666988"/>
    <w:rsid w:val="00671975"/>
    <w:rsid w:val="006748FB"/>
    <w:rsid w:val="00675DA0"/>
    <w:rsid w:val="00683D12"/>
    <w:rsid w:val="0068493D"/>
    <w:rsid w:val="00684D58"/>
    <w:rsid w:val="00686050"/>
    <w:rsid w:val="0068780F"/>
    <w:rsid w:val="00687CBB"/>
    <w:rsid w:val="00687DAA"/>
    <w:rsid w:val="0069071F"/>
    <w:rsid w:val="00690763"/>
    <w:rsid w:val="00692AA3"/>
    <w:rsid w:val="00694EB9"/>
    <w:rsid w:val="00696F37"/>
    <w:rsid w:val="00697E6F"/>
    <w:rsid w:val="006A0068"/>
    <w:rsid w:val="006A4792"/>
    <w:rsid w:val="006B3E4E"/>
    <w:rsid w:val="006C1F71"/>
    <w:rsid w:val="006C4560"/>
    <w:rsid w:val="006C4734"/>
    <w:rsid w:val="006C5F4C"/>
    <w:rsid w:val="006C63B5"/>
    <w:rsid w:val="006D20EA"/>
    <w:rsid w:val="006D3039"/>
    <w:rsid w:val="006D3D9F"/>
    <w:rsid w:val="006D66D4"/>
    <w:rsid w:val="006D6A84"/>
    <w:rsid w:val="006E0223"/>
    <w:rsid w:val="006E2FE3"/>
    <w:rsid w:val="006E4354"/>
    <w:rsid w:val="006E492E"/>
    <w:rsid w:val="00703BE2"/>
    <w:rsid w:val="007045ED"/>
    <w:rsid w:val="00706672"/>
    <w:rsid w:val="00706E34"/>
    <w:rsid w:val="007100F9"/>
    <w:rsid w:val="00717FCF"/>
    <w:rsid w:val="00721354"/>
    <w:rsid w:val="00724957"/>
    <w:rsid w:val="007444FD"/>
    <w:rsid w:val="00747E8B"/>
    <w:rsid w:val="00757A70"/>
    <w:rsid w:val="00757E73"/>
    <w:rsid w:val="00761BA4"/>
    <w:rsid w:val="00762CFD"/>
    <w:rsid w:val="00770C66"/>
    <w:rsid w:val="00772D8C"/>
    <w:rsid w:val="00775F2A"/>
    <w:rsid w:val="007763DE"/>
    <w:rsid w:val="00776ABF"/>
    <w:rsid w:val="007805A7"/>
    <w:rsid w:val="00781F51"/>
    <w:rsid w:val="00785054"/>
    <w:rsid w:val="00787ADF"/>
    <w:rsid w:val="00790732"/>
    <w:rsid w:val="0079322A"/>
    <w:rsid w:val="00795EAD"/>
    <w:rsid w:val="00795EE2"/>
    <w:rsid w:val="007A1544"/>
    <w:rsid w:val="007A2130"/>
    <w:rsid w:val="007A5834"/>
    <w:rsid w:val="007A6371"/>
    <w:rsid w:val="007B1657"/>
    <w:rsid w:val="007B3102"/>
    <w:rsid w:val="007B5842"/>
    <w:rsid w:val="007C1631"/>
    <w:rsid w:val="007C1831"/>
    <w:rsid w:val="007C59FA"/>
    <w:rsid w:val="007C63E7"/>
    <w:rsid w:val="007C7EA0"/>
    <w:rsid w:val="007D645E"/>
    <w:rsid w:val="007D7EA5"/>
    <w:rsid w:val="007E3BAD"/>
    <w:rsid w:val="007E3C19"/>
    <w:rsid w:val="007E7768"/>
    <w:rsid w:val="007F2F36"/>
    <w:rsid w:val="007F4D3A"/>
    <w:rsid w:val="007F5519"/>
    <w:rsid w:val="007F570C"/>
    <w:rsid w:val="00800F39"/>
    <w:rsid w:val="00802B21"/>
    <w:rsid w:val="00803AE5"/>
    <w:rsid w:val="008042E3"/>
    <w:rsid w:val="008112B2"/>
    <w:rsid w:val="00811896"/>
    <w:rsid w:val="00813BBE"/>
    <w:rsid w:val="00813E3F"/>
    <w:rsid w:val="00814F9A"/>
    <w:rsid w:val="00821B55"/>
    <w:rsid w:val="00823450"/>
    <w:rsid w:val="00824443"/>
    <w:rsid w:val="00826435"/>
    <w:rsid w:val="00830594"/>
    <w:rsid w:val="0083099F"/>
    <w:rsid w:val="008321A6"/>
    <w:rsid w:val="00833350"/>
    <w:rsid w:val="00833BEA"/>
    <w:rsid w:val="00841C43"/>
    <w:rsid w:val="008473AF"/>
    <w:rsid w:val="0085130B"/>
    <w:rsid w:val="0085207E"/>
    <w:rsid w:val="00852DF7"/>
    <w:rsid w:val="00853AF8"/>
    <w:rsid w:val="00857C04"/>
    <w:rsid w:val="00861B0C"/>
    <w:rsid w:val="008666A5"/>
    <w:rsid w:val="0087160E"/>
    <w:rsid w:val="0087370B"/>
    <w:rsid w:val="0087497D"/>
    <w:rsid w:val="00876C19"/>
    <w:rsid w:val="00880DFB"/>
    <w:rsid w:val="00884E4F"/>
    <w:rsid w:val="008914B9"/>
    <w:rsid w:val="0089313F"/>
    <w:rsid w:val="00893E22"/>
    <w:rsid w:val="0089523E"/>
    <w:rsid w:val="00896DDD"/>
    <w:rsid w:val="00897495"/>
    <w:rsid w:val="008A5CAC"/>
    <w:rsid w:val="008B65FB"/>
    <w:rsid w:val="008C07CF"/>
    <w:rsid w:val="008C51EA"/>
    <w:rsid w:val="008C6FF8"/>
    <w:rsid w:val="008D10D8"/>
    <w:rsid w:val="008D551C"/>
    <w:rsid w:val="008D6C11"/>
    <w:rsid w:val="008E1DB0"/>
    <w:rsid w:val="008F0BA3"/>
    <w:rsid w:val="008F1C1F"/>
    <w:rsid w:val="008F29FA"/>
    <w:rsid w:val="008F2B25"/>
    <w:rsid w:val="008F316B"/>
    <w:rsid w:val="008F5269"/>
    <w:rsid w:val="008F5A96"/>
    <w:rsid w:val="008F6711"/>
    <w:rsid w:val="008F71D0"/>
    <w:rsid w:val="00905C5B"/>
    <w:rsid w:val="009109CD"/>
    <w:rsid w:val="00910C32"/>
    <w:rsid w:val="00911481"/>
    <w:rsid w:val="00912F3F"/>
    <w:rsid w:val="009229E7"/>
    <w:rsid w:val="009237D1"/>
    <w:rsid w:val="00923BD5"/>
    <w:rsid w:val="00925268"/>
    <w:rsid w:val="0092777B"/>
    <w:rsid w:val="0093027B"/>
    <w:rsid w:val="00930638"/>
    <w:rsid w:val="00935DF7"/>
    <w:rsid w:val="00940272"/>
    <w:rsid w:val="0094136F"/>
    <w:rsid w:val="00941448"/>
    <w:rsid w:val="00942E5D"/>
    <w:rsid w:val="009449E4"/>
    <w:rsid w:val="00945FED"/>
    <w:rsid w:val="00946DE8"/>
    <w:rsid w:val="009520B7"/>
    <w:rsid w:val="00952400"/>
    <w:rsid w:val="009553C8"/>
    <w:rsid w:val="00955459"/>
    <w:rsid w:val="00960863"/>
    <w:rsid w:val="00965C4C"/>
    <w:rsid w:val="00971AED"/>
    <w:rsid w:val="00976F11"/>
    <w:rsid w:val="00977F3F"/>
    <w:rsid w:val="00986FBF"/>
    <w:rsid w:val="0099556D"/>
    <w:rsid w:val="00997462"/>
    <w:rsid w:val="009A0FBF"/>
    <w:rsid w:val="009A3B25"/>
    <w:rsid w:val="009A5554"/>
    <w:rsid w:val="009A671A"/>
    <w:rsid w:val="009B3B9F"/>
    <w:rsid w:val="009B5E5C"/>
    <w:rsid w:val="009B703B"/>
    <w:rsid w:val="009C18C7"/>
    <w:rsid w:val="009C3C1C"/>
    <w:rsid w:val="009C4128"/>
    <w:rsid w:val="009C67AD"/>
    <w:rsid w:val="009C795B"/>
    <w:rsid w:val="009D06C9"/>
    <w:rsid w:val="009D1E33"/>
    <w:rsid w:val="009D2602"/>
    <w:rsid w:val="009E3B67"/>
    <w:rsid w:val="009E46F2"/>
    <w:rsid w:val="009E6454"/>
    <w:rsid w:val="009E663F"/>
    <w:rsid w:val="009E6710"/>
    <w:rsid w:val="009F04CC"/>
    <w:rsid w:val="009F3077"/>
    <w:rsid w:val="009F50FF"/>
    <w:rsid w:val="00A01DE6"/>
    <w:rsid w:val="00A07FB4"/>
    <w:rsid w:val="00A11788"/>
    <w:rsid w:val="00A124D2"/>
    <w:rsid w:val="00A1745F"/>
    <w:rsid w:val="00A211C5"/>
    <w:rsid w:val="00A22553"/>
    <w:rsid w:val="00A23F1E"/>
    <w:rsid w:val="00A3077A"/>
    <w:rsid w:val="00A30E95"/>
    <w:rsid w:val="00A379FF"/>
    <w:rsid w:val="00A42074"/>
    <w:rsid w:val="00A5175A"/>
    <w:rsid w:val="00A51D74"/>
    <w:rsid w:val="00A51DB5"/>
    <w:rsid w:val="00A532B9"/>
    <w:rsid w:val="00A57591"/>
    <w:rsid w:val="00A645D4"/>
    <w:rsid w:val="00A67280"/>
    <w:rsid w:val="00A70D9A"/>
    <w:rsid w:val="00A73A8F"/>
    <w:rsid w:val="00A80FFD"/>
    <w:rsid w:val="00A811AE"/>
    <w:rsid w:val="00A87FC6"/>
    <w:rsid w:val="00A9101F"/>
    <w:rsid w:val="00A92157"/>
    <w:rsid w:val="00A92A7E"/>
    <w:rsid w:val="00A943D7"/>
    <w:rsid w:val="00AA1407"/>
    <w:rsid w:val="00AB08A0"/>
    <w:rsid w:val="00AC0D8C"/>
    <w:rsid w:val="00AC2227"/>
    <w:rsid w:val="00AC5F62"/>
    <w:rsid w:val="00AD054E"/>
    <w:rsid w:val="00AD297B"/>
    <w:rsid w:val="00AD39A3"/>
    <w:rsid w:val="00AD6D06"/>
    <w:rsid w:val="00AE12C3"/>
    <w:rsid w:val="00AE26C9"/>
    <w:rsid w:val="00AE5178"/>
    <w:rsid w:val="00AE7A2B"/>
    <w:rsid w:val="00AE7BCE"/>
    <w:rsid w:val="00AF2852"/>
    <w:rsid w:val="00AF7B43"/>
    <w:rsid w:val="00B0314A"/>
    <w:rsid w:val="00B0445D"/>
    <w:rsid w:val="00B06CF5"/>
    <w:rsid w:val="00B16639"/>
    <w:rsid w:val="00B16B4A"/>
    <w:rsid w:val="00B204B3"/>
    <w:rsid w:val="00B21205"/>
    <w:rsid w:val="00B2368D"/>
    <w:rsid w:val="00B23A5A"/>
    <w:rsid w:val="00B24365"/>
    <w:rsid w:val="00B25F03"/>
    <w:rsid w:val="00B2760D"/>
    <w:rsid w:val="00B30BE8"/>
    <w:rsid w:val="00B32354"/>
    <w:rsid w:val="00B3401A"/>
    <w:rsid w:val="00B35AF8"/>
    <w:rsid w:val="00B3778F"/>
    <w:rsid w:val="00B37890"/>
    <w:rsid w:val="00B379CD"/>
    <w:rsid w:val="00B37D20"/>
    <w:rsid w:val="00B403BA"/>
    <w:rsid w:val="00B40C09"/>
    <w:rsid w:val="00B43602"/>
    <w:rsid w:val="00B43723"/>
    <w:rsid w:val="00B438D9"/>
    <w:rsid w:val="00B639E0"/>
    <w:rsid w:val="00B664E3"/>
    <w:rsid w:val="00B67515"/>
    <w:rsid w:val="00B71CA7"/>
    <w:rsid w:val="00B751AA"/>
    <w:rsid w:val="00B76C5D"/>
    <w:rsid w:val="00B777F6"/>
    <w:rsid w:val="00B84DDB"/>
    <w:rsid w:val="00B936F7"/>
    <w:rsid w:val="00B93F9D"/>
    <w:rsid w:val="00B949A3"/>
    <w:rsid w:val="00BA0360"/>
    <w:rsid w:val="00BA1E9B"/>
    <w:rsid w:val="00BA1F57"/>
    <w:rsid w:val="00BB18E4"/>
    <w:rsid w:val="00BB54E9"/>
    <w:rsid w:val="00BB6409"/>
    <w:rsid w:val="00BB65CA"/>
    <w:rsid w:val="00BC0F74"/>
    <w:rsid w:val="00BC4AF5"/>
    <w:rsid w:val="00BD2A86"/>
    <w:rsid w:val="00BD400A"/>
    <w:rsid w:val="00BD5F95"/>
    <w:rsid w:val="00BE683A"/>
    <w:rsid w:val="00BF055F"/>
    <w:rsid w:val="00BF4256"/>
    <w:rsid w:val="00C02077"/>
    <w:rsid w:val="00C041A3"/>
    <w:rsid w:val="00C04C42"/>
    <w:rsid w:val="00C04FD6"/>
    <w:rsid w:val="00C10704"/>
    <w:rsid w:val="00C16CA9"/>
    <w:rsid w:val="00C217FA"/>
    <w:rsid w:val="00C23DB5"/>
    <w:rsid w:val="00C24523"/>
    <w:rsid w:val="00C25C0C"/>
    <w:rsid w:val="00C2664E"/>
    <w:rsid w:val="00C30DDE"/>
    <w:rsid w:val="00C337D1"/>
    <w:rsid w:val="00C40645"/>
    <w:rsid w:val="00C40FA8"/>
    <w:rsid w:val="00C45F98"/>
    <w:rsid w:val="00C521AA"/>
    <w:rsid w:val="00C535B4"/>
    <w:rsid w:val="00C541FD"/>
    <w:rsid w:val="00C55649"/>
    <w:rsid w:val="00C574EF"/>
    <w:rsid w:val="00C57E44"/>
    <w:rsid w:val="00C65F61"/>
    <w:rsid w:val="00C661B7"/>
    <w:rsid w:val="00C70CAC"/>
    <w:rsid w:val="00C71A7E"/>
    <w:rsid w:val="00C73610"/>
    <w:rsid w:val="00C736B0"/>
    <w:rsid w:val="00C77732"/>
    <w:rsid w:val="00C77C0F"/>
    <w:rsid w:val="00CA0227"/>
    <w:rsid w:val="00CA1CD3"/>
    <w:rsid w:val="00CA2136"/>
    <w:rsid w:val="00CA49D7"/>
    <w:rsid w:val="00CA78F8"/>
    <w:rsid w:val="00CB1BD0"/>
    <w:rsid w:val="00CB72B6"/>
    <w:rsid w:val="00CC05C9"/>
    <w:rsid w:val="00CC07F0"/>
    <w:rsid w:val="00CD17D7"/>
    <w:rsid w:val="00CD1AB3"/>
    <w:rsid w:val="00CD7F2C"/>
    <w:rsid w:val="00CE0E51"/>
    <w:rsid w:val="00CF33EB"/>
    <w:rsid w:val="00CF56DB"/>
    <w:rsid w:val="00D00B9F"/>
    <w:rsid w:val="00D02D68"/>
    <w:rsid w:val="00D0576A"/>
    <w:rsid w:val="00D06F6F"/>
    <w:rsid w:val="00D07806"/>
    <w:rsid w:val="00D07B50"/>
    <w:rsid w:val="00D10FB7"/>
    <w:rsid w:val="00D15C66"/>
    <w:rsid w:val="00D23645"/>
    <w:rsid w:val="00D26177"/>
    <w:rsid w:val="00D268DD"/>
    <w:rsid w:val="00D30886"/>
    <w:rsid w:val="00D32B97"/>
    <w:rsid w:val="00D465E0"/>
    <w:rsid w:val="00D47512"/>
    <w:rsid w:val="00D4770C"/>
    <w:rsid w:val="00D52771"/>
    <w:rsid w:val="00D53490"/>
    <w:rsid w:val="00D54AD6"/>
    <w:rsid w:val="00D55139"/>
    <w:rsid w:val="00D65840"/>
    <w:rsid w:val="00D65B7F"/>
    <w:rsid w:val="00D66002"/>
    <w:rsid w:val="00D66900"/>
    <w:rsid w:val="00D66D5F"/>
    <w:rsid w:val="00D80AAE"/>
    <w:rsid w:val="00D8334D"/>
    <w:rsid w:val="00D840C6"/>
    <w:rsid w:val="00D84C76"/>
    <w:rsid w:val="00D86A77"/>
    <w:rsid w:val="00D971AC"/>
    <w:rsid w:val="00DA1830"/>
    <w:rsid w:val="00DA3D6B"/>
    <w:rsid w:val="00DA532D"/>
    <w:rsid w:val="00DB2174"/>
    <w:rsid w:val="00DB3690"/>
    <w:rsid w:val="00DB3B11"/>
    <w:rsid w:val="00DB46DF"/>
    <w:rsid w:val="00DB7FC2"/>
    <w:rsid w:val="00DC2513"/>
    <w:rsid w:val="00DC498A"/>
    <w:rsid w:val="00DC6C77"/>
    <w:rsid w:val="00DD1270"/>
    <w:rsid w:val="00DD1426"/>
    <w:rsid w:val="00DD1885"/>
    <w:rsid w:val="00DD2278"/>
    <w:rsid w:val="00DD2EE7"/>
    <w:rsid w:val="00DD3BEE"/>
    <w:rsid w:val="00DD6D41"/>
    <w:rsid w:val="00DE0911"/>
    <w:rsid w:val="00DE1985"/>
    <w:rsid w:val="00DE5229"/>
    <w:rsid w:val="00DF1EE0"/>
    <w:rsid w:val="00DF26E6"/>
    <w:rsid w:val="00DF4817"/>
    <w:rsid w:val="00DF4F5E"/>
    <w:rsid w:val="00DF61AC"/>
    <w:rsid w:val="00DF67EE"/>
    <w:rsid w:val="00DF78C7"/>
    <w:rsid w:val="00E00141"/>
    <w:rsid w:val="00E00BE3"/>
    <w:rsid w:val="00E01578"/>
    <w:rsid w:val="00E0241A"/>
    <w:rsid w:val="00E038FA"/>
    <w:rsid w:val="00E103A6"/>
    <w:rsid w:val="00E11DAD"/>
    <w:rsid w:val="00E1764B"/>
    <w:rsid w:val="00E179E4"/>
    <w:rsid w:val="00E26F66"/>
    <w:rsid w:val="00E3537E"/>
    <w:rsid w:val="00E360DF"/>
    <w:rsid w:val="00E3645F"/>
    <w:rsid w:val="00E42F20"/>
    <w:rsid w:val="00E44003"/>
    <w:rsid w:val="00E4640E"/>
    <w:rsid w:val="00E4745E"/>
    <w:rsid w:val="00E553E8"/>
    <w:rsid w:val="00E56080"/>
    <w:rsid w:val="00E566B4"/>
    <w:rsid w:val="00E57E3E"/>
    <w:rsid w:val="00E607DE"/>
    <w:rsid w:val="00E62EB3"/>
    <w:rsid w:val="00E642F4"/>
    <w:rsid w:val="00E75557"/>
    <w:rsid w:val="00E764B6"/>
    <w:rsid w:val="00E83EEE"/>
    <w:rsid w:val="00E85114"/>
    <w:rsid w:val="00E85197"/>
    <w:rsid w:val="00E862FE"/>
    <w:rsid w:val="00E95358"/>
    <w:rsid w:val="00EA10A4"/>
    <w:rsid w:val="00EA6E0E"/>
    <w:rsid w:val="00EB47A0"/>
    <w:rsid w:val="00EB63F6"/>
    <w:rsid w:val="00EC3570"/>
    <w:rsid w:val="00EC6EE4"/>
    <w:rsid w:val="00ED0212"/>
    <w:rsid w:val="00ED1BF4"/>
    <w:rsid w:val="00ED27C3"/>
    <w:rsid w:val="00ED2E23"/>
    <w:rsid w:val="00ED38F3"/>
    <w:rsid w:val="00ED5F37"/>
    <w:rsid w:val="00EE0FDD"/>
    <w:rsid w:val="00EE130F"/>
    <w:rsid w:val="00EE3700"/>
    <w:rsid w:val="00EE378A"/>
    <w:rsid w:val="00EE7E8C"/>
    <w:rsid w:val="00EF30A3"/>
    <w:rsid w:val="00EF3A5C"/>
    <w:rsid w:val="00EF5233"/>
    <w:rsid w:val="00EF78B1"/>
    <w:rsid w:val="00EF7B6B"/>
    <w:rsid w:val="00EF7D80"/>
    <w:rsid w:val="00F00D3F"/>
    <w:rsid w:val="00F02848"/>
    <w:rsid w:val="00F02DCF"/>
    <w:rsid w:val="00F0700C"/>
    <w:rsid w:val="00F1721E"/>
    <w:rsid w:val="00F205E6"/>
    <w:rsid w:val="00F21FD9"/>
    <w:rsid w:val="00F22119"/>
    <w:rsid w:val="00F26D7C"/>
    <w:rsid w:val="00F34F1A"/>
    <w:rsid w:val="00F35506"/>
    <w:rsid w:val="00F35F3A"/>
    <w:rsid w:val="00F36C21"/>
    <w:rsid w:val="00F44E31"/>
    <w:rsid w:val="00F52D5A"/>
    <w:rsid w:val="00F5508D"/>
    <w:rsid w:val="00F55E0E"/>
    <w:rsid w:val="00F60069"/>
    <w:rsid w:val="00F60613"/>
    <w:rsid w:val="00F62966"/>
    <w:rsid w:val="00F62B68"/>
    <w:rsid w:val="00F7153F"/>
    <w:rsid w:val="00F73E70"/>
    <w:rsid w:val="00F73F99"/>
    <w:rsid w:val="00F749A5"/>
    <w:rsid w:val="00F76354"/>
    <w:rsid w:val="00F76366"/>
    <w:rsid w:val="00F767BE"/>
    <w:rsid w:val="00F767EC"/>
    <w:rsid w:val="00F80F93"/>
    <w:rsid w:val="00F83124"/>
    <w:rsid w:val="00F837D1"/>
    <w:rsid w:val="00F84540"/>
    <w:rsid w:val="00F86481"/>
    <w:rsid w:val="00FA4500"/>
    <w:rsid w:val="00FB0299"/>
    <w:rsid w:val="00FB1621"/>
    <w:rsid w:val="00FB7FC7"/>
    <w:rsid w:val="00FC2DC7"/>
    <w:rsid w:val="00FC371A"/>
    <w:rsid w:val="00FC519B"/>
    <w:rsid w:val="00FD1D71"/>
    <w:rsid w:val="00FD2290"/>
    <w:rsid w:val="00FD4250"/>
    <w:rsid w:val="00FD5672"/>
    <w:rsid w:val="00FD598A"/>
    <w:rsid w:val="00FD67DF"/>
    <w:rsid w:val="00FD7671"/>
    <w:rsid w:val="00FD79E4"/>
    <w:rsid w:val="00FD7F0C"/>
    <w:rsid w:val="00FE34FB"/>
    <w:rsid w:val="00FE368C"/>
    <w:rsid w:val="00FF04C7"/>
    <w:rsid w:val="00FF217F"/>
    <w:rsid w:val="00FF26DF"/>
    <w:rsid w:val="00FF7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unhideWhenUsed/>
    <w:rsid w:val="005023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0234B"/>
    <w:rPr>
      <w:sz w:val="20"/>
      <w:szCs w:val="20"/>
    </w:rPr>
  </w:style>
  <w:style w:type="character" w:styleId="Odwoanieprzypisukocowego">
    <w:name w:val="endnote reference"/>
    <w:basedOn w:val="Domylnaczcionkaakapitu"/>
    <w:uiPriority w:val="99"/>
    <w:semiHidden/>
    <w:unhideWhenUsed/>
    <w:rsid w:val="0050234B"/>
    <w:rPr>
      <w:vertAlign w:val="superscript"/>
    </w:rPr>
  </w:style>
  <w:style w:type="paragraph" w:styleId="Nagwek">
    <w:name w:val="header"/>
    <w:basedOn w:val="Normalny"/>
    <w:link w:val="NagwekZnak"/>
    <w:uiPriority w:val="99"/>
    <w:unhideWhenUsed/>
    <w:rsid w:val="009D06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06C9"/>
  </w:style>
  <w:style w:type="paragraph" w:styleId="Stopka">
    <w:name w:val="footer"/>
    <w:basedOn w:val="Normalny"/>
    <w:link w:val="StopkaZnak"/>
    <w:uiPriority w:val="99"/>
    <w:unhideWhenUsed/>
    <w:rsid w:val="009D06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06C9"/>
  </w:style>
  <w:style w:type="paragraph" w:styleId="Akapitzlist">
    <w:name w:val="List Paragraph"/>
    <w:basedOn w:val="Normalny"/>
    <w:uiPriority w:val="34"/>
    <w:qFormat/>
    <w:rsid w:val="00E00141"/>
    <w:pPr>
      <w:ind w:left="720"/>
      <w:contextualSpacing/>
    </w:pPr>
  </w:style>
  <w:style w:type="table" w:styleId="Tabela-Siatka">
    <w:name w:val="Table Grid"/>
    <w:basedOn w:val="Standardowy"/>
    <w:uiPriority w:val="59"/>
    <w:rsid w:val="00AF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066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6672"/>
    <w:rPr>
      <w:rFonts w:ascii="Tahoma" w:hAnsi="Tahoma" w:cs="Tahoma"/>
      <w:sz w:val="16"/>
      <w:szCs w:val="16"/>
    </w:rPr>
  </w:style>
  <w:style w:type="character" w:styleId="Odwoaniedokomentarza">
    <w:name w:val="annotation reference"/>
    <w:basedOn w:val="Domylnaczcionkaakapitu"/>
    <w:uiPriority w:val="99"/>
    <w:semiHidden/>
    <w:unhideWhenUsed/>
    <w:rsid w:val="00D02D68"/>
    <w:rPr>
      <w:sz w:val="16"/>
      <w:szCs w:val="16"/>
    </w:rPr>
  </w:style>
  <w:style w:type="paragraph" w:styleId="Tekstkomentarza">
    <w:name w:val="annotation text"/>
    <w:basedOn w:val="Normalny"/>
    <w:link w:val="TekstkomentarzaZnak"/>
    <w:uiPriority w:val="99"/>
    <w:semiHidden/>
    <w:unhideWhenUsed/>
    <w:rsid w:val="00D02D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2D68"/>
    <w:rPr>
      <w:sz w:val="20"/>
      <w:szCs w:val="20"/>
    </w:rPr>
  </w:style>
  <w:style w:type="paragraph" w:styleId="Tematkomentarza">
    <w:name w:val="annotation subject"/>
    <w:basedOn w:val="Tekstkomentarza"/>
    <w:next w:val="Tekstkomentarza"/>
    <w:link w:val="TematkomentarzaZnak"/>
    <w:uiPriority w:val="99"/>
    <w:semiHidden/>
    <w:unhideWhenUsed/>
    <w:rsid w:val="00D02D68"/>
    <w:rPr>
      <w:b/>
      <w:bCs/>
    </w:rPr>
  </w:style>
  <w:style w:type="character" w:customStyle="1" w:styleId="TematkomentarzaZnak">
    <w:name w:val="Temat komentarza Znak"/>
    <w:basedOn w:val="TekstkomentarzaZnak"/>
    <w:link w:val="Tematkomentarza"/>
    <w:uiPriority w:val="99"/>
    <w:semiHidden/>
    <w:rsid w:val="00D02D68"/>
    <w:rPr>
      <w:b/>
      <w:bCs/>
      <w:sz w:val="20"/>
      <w:szCs w:val="20"/>
    </w:rPr>
  </w:style>
  <w:style w:type="paragraph" w:styleId="Tekstprzypisudolnego">
    <w:name w:val="footnote text"/>
    <w:basedOn w:val="Normalny"/>
    <w:link w:val="TekstprzypisudolnegoZnak"/>
    <w:uiPriority w:val="99"/>
    <w:semiHidden/>
    <w:unhideWhenUsed/>
    <w:rsid w:val="00ED2E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D2E23"/>
    <w:rPr>
      <w:sz w:val="20"/>
      <w:szCs w:val="20"/>
    </w:rPr>
  </w:style>
  <w:style w:type="character" w:styleId="Odwoanieprzypisudolnego">
    <w:name w:val="footnote reference"/>
    <w:basedOn w:val="Domylnaczcionkaakapitu"/>
    <w:uiPriority w:val="99"/>
    <w:unhideWhenUsed/>
    <w:rsid w:val="00ED2E23"/>
    <w:rPr>
      <w:vertAlign w:val="superscript"/>
    </w:rPr>
  </w:style>
  <w:style w:type="character" w:customStyle="1" w:styleId="oznaczenie">
    <w:name w:val="oznaczenie"/>
    <w:basedOn w:val="Domylnaczcionkaakapitu"/>
    <w:rsid w:val="00686050"/>
  </w:style>
  <w:style w:type="character" w:styleId="Hipercze">
    <w:name w:val="Hyperlink"/>
    <w:basedOn w:val="Domylnaczcionkaakapitu"/>
    <w:uiPriority w:val="99"/>
    <w:semiHidden/>
    <w:unhideWhenUsed/>
    <w:rsid w:val="00F83124"/>
    <w:rPr>
      <w:color w:val="0000FF"/>
      <w:u w:val="single"/>
    </w:rPr>
  </w:style>
  <w:style w:type="character" w:customStyle="1" w:styleId="Ppogrubienie">
    <w:name w:val="_P_ – pogrubienie"/>
    <w:basedOn w:val="Domylnaczcionkaakapitu"/>
    <w:uiPriority w:val="1"/>
    <w:qFormat/>
    <w:rsid w:val="003018FE"/>
    <w:rPr>
      <w:b/>
    </w:rPr>
  </w:style>
  <w:style w:type="character" w:styleId="Uwydatnienie">
    <w:name w:val="Emphasis"/>
    <w:basedOn w:val="Domylnaczcionkaakapitu"/>
    <w:uiPriority w:val="20"/>
    <w:qFormat/>
    <w:rsid w:val="00E764B6"/>
    <w:rPr>
      <w:i/>
      <w:iCs/>
    </w:rPr>
  </w:style>
  <w:style w:type="paragraph" w:customStyle="1" w:styleId="ZNIEARTTEKSTzmtekstunieartykuowanego">
    <w:name w:val="Z/NIEART_TEKST – zm. tekstu nieartykułowanego"/>
    <w:basedOn w:val="Normalny"/>
    <w:uiPriority w:val="99"/>
    <w:rsid w:val="00997462"/>
    <w:pPr>
      <w:suppressAutoHyphens/>
      <w:autoSpaceDE w:val="0"/>
      <w:autoSpaceDN w:val="0"/>
      <w:adjustRightInd w:val="0"/>
      <w:spacing w:before="120" w:after="0" w:line="360" w:lineRule="auto"/>
      <w:ind w:left="510" w:firstLine="510"/>
      <w:jc w:val="both"/>
    </w:pPr>
    <w:rPr>
      <w:rFonts w:ascii="Times" w:eastAsia="Calibri" w:hAnsi="Times" w:cs="Times"/>
      <w:sz w:val="24"/>
      <w:szCs w:val="24"/>
      <w:lang w:eastAsia="pl-PL"/>
    </w:rPr>
  </w:style>
  <w:style w:type="paragraph" w:styleId="NormalnyWeb">
    <w:name w:val="Normal (Web)"/>
    <w:basedOn w:val="Normalny"/>
    <w:uiPriority w:val="99"/>
    <w:unhideWhenUsed/>
    <w:rsid w:val="00F221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1">
    <w:name w:val="st1"/>
    <w:rsid w:val="00F74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unhideWhenUsed/>
    <w:rsid w:val="005023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0234B"/>
    <w:rPr>
      <w:sz w:val="20"/>
      <w:szCs w:val="20"/>
    </w:rPr>
  </w:style>
  <w:style w:type="character" w:styleId="Odwoanieprzypisukocowego">
    <w:name w:val="endnote reference"/>
    <w:basedOn w:val="Domylnaczcionkaakapitu"/>
    <w:uiPriority w:val="99"/>
    <w:semiHidden/>
    <w:unhideWhenUsed/>
    <w:rsid w:val="0050234B"/>
    <w:rPr>
      <w:vertAlign w:val="superscript"/>
    </w:rPr>
  </w:style>
  <w:style w:type="paragraph" w:styleId="Nagwek">
    <w:name w:val="header"/>
    <w:basedOn w:val="Normalny"/>
    <w:link w:val="NagwekZnak"/>
    <w:uiPriority w:val="99"/>
    <w:unhideWhenUsed/>
    <w:rsid w:val="009D06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06C9"/>
  </w:style>
  <w:style w:type="paragraph" w:styleId="Stopka">
    <w:name w:val="footer"/>
    <w:basedOn w:val="Normalny"/>
    <w:link w:val="StopkaZnak"/>
    <w:uiPriority w:val="99"/>
    <w:unhideWhenUsed/>
    <w:rsid w:val="009D06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06C9"/>
  </w:style>
  <w:style w:type="paragraph" w:styleId="Akapitzlist">
    <w:name w:val="List Paragraph"/>
    <w:basedOn w:val="Normalny"/>
    <w:uiPriority w:val="34"/>
    <w:qFormat/>
    <w:rsid w:val="00E00141"/>
    <w:pPr>
      <w:ind w:left="720"/>
      <w:contextualSpacing/>
    </w:pPr>
  </w:style>
  <w:style w:type="table" w:styleId="Tabela-Siatka">
    <w:name w:val="Table Grid"/>
    <w:basedOn w:val="Standardowy"/>
    <w:uiPriority w:val="59"/>
    <w:rsid w:val="00AF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066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6672"/>
    <w:rPr>
      <w:rFonts w:ascii="Tahoma" w:hAnsi="Tahoma" w:cs="Tahoma"/>
      <w:sz w:val="16"/>
      <w:szCs w:val="16"/>
    </w:rPr>
  </w:style>
  <w:style w:type="character" w:styleId="Odwoaniedokomentarza">
    <w:name w:val="annotation reference"/>
    <w:basedOn w:val="Domylnaczcionkaakapitu"/>
    <w:uiPriority w:val="99"/>
    <w:semiHidden/>
    <w:unhideWhenUsed/>
    <w:rsid w:val="00D02D68"/>
    <w:rPr>
      <w:sz w:val="16"/>
      <w:szCs w:val="16"/>
    </w:rPr>
  </w:style>
  <w:style w:type="paragraph" w:styleId="Tekstkomentarza">
    <w:name w:val="annotation text"/>
    <w:basedOn w:val="Normalny"/>
    <w:link w:val="TekstkomentarzaZnak"/>
    <w:uiPriority w:val="99"/>
    <w:semiHidden/>
    <w:unhideWhenUsed/>
    <w:rsid w:val="00D02D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2D68"/>
    <w:rPr>
      <w:sz w:val="20"/>
      <w:szCs w:val="20"/>
    </w:rPr>
  </w:style>
  <w:style w:type="paragraph" w:styleId="Tematkomentarza">
    <w:name w:val="annotation subject"/>
    <w:basedOn w:val="Tekstkomentarza"/>
    <w:next w:val="Tekstkomentarza"/>
    <w:link w:val="TematkomentarzaZnak"/>
    <w:uiPriority w:val="99"/>
    <w:semiHidden/>
    <w:unhideWhenUsed/>
    <w:rsid w:val="00D02D68"/>
    <w:rPr>
      <w:b/>
      <w:bCs/>
    </w:rPr>
  </w:style>
  <w:style w:type="character" w:customStyle="1" w:styleId="TematkomentarzaZnak">
    <w:name w:val="Temat komentarza Znak"/>
    <w:basedOn w:val="TekstkomentarzaZnak"/>
    <w:link w:val="Tematkomentarza"/>
    <w:uiPriority w:val="99"/>
    <w:semiHidden/>
    <w:rsid w:val="00D02D68"/>
    <w:rPr>
      <w:b/>
      <w:bCs/>
      <w:sz w:val="20"/>
      <w:szCs w:val="20"/>
    </w:rPr>
  </w:style>
  <w:style w:type="paragraph" w:styleId="Tekstprzypisudolnego">
    <w:name w:val="footnote text"/>
    <w:basedOn w:val="Normalny"/>
    <w:link w:val="TekstprzypisudolnegoZnak"/>
    <w:uiPriority w:val="99"/>
    <w:semiHidden/>
    <w:unhideWhenUsed/>
    <w:rsid w:val="00ED2E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D2E23"/>
    <w:rPr>
      <w:sz w:val="20"/>
      <w:szCs w:val="20"/>
    </w:rPr>
  </w:style>
  <w:style w:type="character" w:styleId="Odwoanieprzypisudolnego">
    <w:name w:val="footnote reference"/>
    <w:basedOn w:val="Domylnaczcionkaakapitu"/>
    <w:uiPriority w:val="99"/>
    <w:unhideWhenUsed/>
    <w:rsid w:val="00ED2E23"/>
    <w:rPr>
      <w:vertAlign w:val="superscript"/>
    </w:rPr>
  </w:style>
  <w:style w:type="character" w:customStyle="1" w:styleId="oznaczenie">
    <w:name w:val="oznaczenie"/>
    <w:basedOn w:val="Domylnaczcionkaakapitu"/>
    <w:rsid w:val="00686050"/>
  </w:style>
  <w:style w:type="character" w:styleId="Hipercze">
    <w:name w:val="Hyperlink"/>
    <w:basedOn w:val="Domylnaczcionkaakapitu"/>
    <w:uiPriority w:val="99"/>
    <w:semiHidden/>
    <w:unhideWhenUsed/>
    <w:rsid w:val="00F83124"/>
    <w:rPr>
      <w:color w:val="0000FF"/>
      <w:u w:val="single"/>
    </w:rPr>
  </w:style>
  <w:style w:type="character" w:customStyle="1" w:styleId="Ppogrubienie">
    <w:name w:val="_P_ – pogrubienie"/>
    <w:basedOn w:val="Domylnaczcionkaakapitu"/>
    <w:uiPriority w:val="1"/>
    <w:qFormat/>
    <w:rsid w:val="003018FE"/>
    <w:rPr>
      <w:b/>
    </w:rPr>
  </w:style>
  <w:style w:type="character" w:styleId="Uwydatnienie">
    <w:name w:val="Emphasis"/>
    <w:basedOn w:val="Domylnaczcionkaakapitu"/>
    <w:uiPriority w:val="20"/>
    <w:qFormat/>
    <w:rsid w:val="00E764B6"/>
    <w:rPr>
      <w:i/>
      <w:iCs/>
    </w:rPr>
  </w:style>
  <w:style w:type="paragraph" w:customStyle="1" w:styleId="ZNIEARTTEKSTzmtekstunieartykuowanego">
    <w:name w:val="Z/NIEART_TEKST – zm. tekstu nieartykułowanego"/>
    <w:basedOn w:val="Normalny"/>
    <w:uiPriority w:val="99"/>
    <w:rsid w:val="00997462"/>
    <w:pPr>
      <w:suppressAutoHyphens/>
      <w:autoSpaceDE w:val="0"/>
      <w:autoSpaceDN w:val="0"/>
      <w:adjustRightInd w:val="0"/>
      <w:spacing w:before="120" w:after="0" w:line="360" w:lineRule="auto"/>
      <w:ind w:left="510" w:firstLine="510"/>
      <w:jc w:val="both"/>
    </w:pPr>
    <w:rPr>
      <w:rFonts w:ascii="Times" w:eastAsia="Calibri" w:hAnsi="Times" w:cs="Times"/>
      <w:sz w:val="24"/>
      <w:szCs w:val="24"/>
      <w:lang w:eastAsia="pl-PL"/>
    </w:rPr>
  </w:style>
  <w:style w:type="paragraph" w:styleId="NormalnyWeb">
    <w:name w:val="Normal (Web)"/>
    <w:basedOn w:val="Normalny"/>
    <w:uiPriority w:val="99"/>
    <w:unhideWhenUsed/>
    <w:rsid w:val="00F221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1">
    <w:name w:val="st1"/>
    <w:rsid w:val="00F7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142">
      <w:bodyDiv w:val="1"/>
      <w:marLeft w:val="375"/>
      <w:marRight w:val="0"/>
      <w:marTop w:val="150"/>
      <w:marBottom w:val="0"/>
      <w:divBdr>
        <w:top w:val="none" w:sz="0" w:space="0" w:color="auto"/>
        <w:left w:val="none" w:sz="0" w:space="0" w:color="auto"/>
        <w:bottom w:val="none" w:sz="0" w:space="0" w:color="auto"/>
        <w:right w:val="none" w:sz="0" w:space="0" w:color="auto"/>
      </w:divBdr>
      <w:divsChild>
        <w:div w:id="1604259547">
          <w:marLeft w:val="0"/>
          <w:marRight w:val="0"/>
          <w:marTop w:val="0"/>
          <w:marBottom w:val="0"/>
          <w:divBdr>
            <w:top w:val="none" w:sz="0" w:space="0" w:color="auto"/>
            <w:left w:val="none" w:sz="0" w:space="0" w:color="auto"/>
            <w:bottom w:val="none" w:sz="0" w:space="0" w:color="auto"/>
            <w:right w:val="none" w:sz="0" w:space="0" w:color="auto"/>
          </w:divBdr>
        </w:div>
      </w:divsChild>
    </w:div>
    <w:div w:id="105151588">
      <w:bodyDiv w:val="1"/>
      <w:marLeft w:val="375"/>
      <w:marRight w:val="0"/>
      <w:marTop w:val="150"/>
      <w:marBottom w:val="0"/>
      <w:divBdr>
        <w:top w:val="none" w:sz="0" w:space="0" w:color="auto"/>
        <w:left w:val="none" w:sz="0" w:space="0" w:color="auto"/>
        <w:bottom w:val="none" w:sz="0" w:space="0" w:color="auto"/>
        <w:right w:val="none" w:sz="0" w:space="0" w:color="auto"/>
      </w:divBdr>
      <w:divsChild>
        <w:div w:id="1047493060">
          <w:marLeft w:val="0"/>
          <w:marRight w:val="0"/>
          <w:marTop w:val="0"/>
          <w:marBottom w:val="0"/>
          <w:divBdr>
            <w:top w:val="none" w:sz="0" w:space="0" w:color="auto"/>
            <w:left w:val="none" w:sz="0" w:space="0" w:color="auto"/>
            <w:bottom w:val="none" w:sz="0" w:space="0" w:color="auto"/>
            <w:right w:val="none" w:sz="0" w:space="0" w:color="auto"/>
          </w:divBdr>
        </w:div>
      </w:divsChild>
    </w:div>
    <w:div w:id="142084796">
      <w:bodyDiv w:val="1"/>
      <w:marLeft w:val="375"/>
      <w:marRight w:val="0"/>
      <w:marTop w:val="150"/>
      <w:marBottom w:val="0"/>
      <w:divBdr>
        <w:top w:val="none" w:sz="0" w:space="0" w:color="auto"/>
        <w:left w:val="none" w:sz="0" w:space="0" w:color="auto"/>
        <w:bottom w:val="none" w:sz="0" w:space="0" w:color="auto"/>
        <w:right w:val="none" w:sz="0" w:space="0" w:color="auto"/>
      </w:divBdr>
      <w:divsChild>
        <w:div w:id="566691167">
          <w:marLeft w:val="0"/>
          <w:marRight w:val="0"/>
          <w:marTop w:val="0"/>
          <w:marBottom w:val="0"/>
          <w:divBdr>
            <w:top w:val="none" w:sz="0" w:space="0" w:color="auto"/>
            <w:left w:val="none" w:sz="0" w:space="0" w:color="auto"/>
            <w:bottom w:val="none" w:sz="0" w:space="0" w:color="auto"/>
            <w:right w:val="none" w:sz="0" w:space="0" w:color="auto"/>
          </w:divBdr>
          <w:divsChild>
            <w:div w:id="1950047299">
              <w:marLeft w:val="0"/>
              <w:marRight w:val="0"/>
              <w:marTop w:val="0"/>
              <w:marBottom w:val="0"/>
              <w:divBdr>
                <w:top w:val="none" w:sz="0" w:space="0" w:color="auto"/>
                <w:left w:val="none" w:sz="0" w:space="0" w:color="auto"/>
                <w:bottom w:val="none" w:sz="0" w:space="0" w:color="auto"/>
                <w:right w:val="none" w:sz="0" w:space="0" w:color="auto"/>
              </w:divBdr>
            </w:div>
            <w:div w:id="619999421">
              <w:marLeft w:val="0"/>
              <w:marRight w:val="0"/>
              <w:marTop w:val="0"/>
              <w:marBottom w:val="0"/>
              <w:divBdr>
                <w:top w:val="none" w:sz="0" w:space="0" w:color="auto"/>
                <w:left w:val="none" w:sz="0" w:space="0" w:color="auto"/>
                <w:bottom w:val="none" w:sz="0" w:space="0" w:color="auto"/>
                <w:right w:val="none" w:sz="0" w:space="0" w:color="auto"/>
              </w:divBdr>
            </w:div>
            <w:div w:id="576748449">
              <w:marLeft w:val="0"/>
              <w:marRight w:val="0"/>
              <w:marTop w:val="0"/>
              <w:marBottom w:val="0"/>
              <w:divBdr>
                <w:top w:val="none" w:sz="0" w:space="0" w:color="auto"/>
                <w:left w:val="none" w:sz="0" w:space="0" w:color="auto"/>
                <w:bottom w:val="none" w:sz="0" w:space="0" w:color="auto"/>
                <w:right w:val="none" w:sz="0" w:space="0" w:color="auto"/>
              </w:divBdr>
            </w:div>
            <w:div w:id="2056654740">
              <w:marLeft w:val="0"/>
              <w:marRight w:val="0"/>
              <w:marTop w:val="0"/>
              <w:marBottom w:val="0"/>
              <w:divBdr>
                <w:top w:val="none" w:sz="0" w:space="0" w:color="auto"/>
                <w:left w:val="none" w:sz="0" w:space="0" w:color="auto"/>
                <w:bottom w:val="none" w:sz="0" w:space="0" w:color="auto"/>
                <w:right w:val="none" w:sz="0" w:space="0" w:color="auto"/>
              </w:divBdr>
            </w:div>
            <w:div w:id="8734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928">
      <w:bodyDiv w:val="1"/>
      <w:marLeft w:val="0"/>
      <w:marRight w:val="0"/>
      <w:marTop w:val="0"/>
      <w:marBottom w:val="0"/>
      <w:divBdr>
        <w:top w:val="none" w:sz="0" w:space="0" w:color="auto"/>
        <w:left w:val="none" w:sz="0" w:space="0" w:color="auto"/>
        <w:bottom w:val="none" w:sz="0" w:space="0" w:color="auto"/>
        <w:right w:val="none" w:sz="0" w:space="0" w:color="auto"/>
      </w:divBdr>
      <w:divsChild>
        <w:div w:id="1403285819">
          <w:marLeft w:val="0"/>
          <w:marRight w:val="0"/>
          <w:marTop w:val="0"/>
          <w:marBottom w:val="0"/>
          <w:divBdr>
            <w:top w:val="none" w:sz="0" w:space="0" w:color="auto"/>
            <w:left w:val="none" w:sz="0" w:space="0" w:color="auto"/>
            <w:bottom w:val="none" w:sz="0" w:space="0" w:color="auto"/>
            <w:right w:val="none" w:sz="0" w:space="0" w:color="auto"/>
          </w:divBdr>
          <w:divsChild>
            <w:div w:id="963391817">
              <w:marLeft w:val="0"/>
              <w:marRight w:val="0"/>
              <w:marTop w:val="0"/>
              <w:marBottom w:val="0"/>
              <w:divBdr>
                <w:top w:val="none" w:sz="0" w:space="0" w:color="auto"/>
                <w:left w:val="none" w:sz="0" w:space="0" w:color="auto"/>
                <w:bottom w:val="none" w:sz="0" w:space="0" w:color="auto"/>
                <w:right w:val="none" w:sz="0" w:space="0" w:color="auto"/>
              </w:divBdr>
              <w:divsChild>
                <w:div w:id="1885754942">
                  <w:marLeft w:val="0"/>
                  <w:marRight w:val="0"/>
                  <w:marTop w:val="0"/>
                  <w:marBottom w:val="0"/>
                  <w:divBdr>
                    <w:top w:val="none" w:sz="0" w:space="0" w:color="auto"/>
                    <w:left w:val="none" w:sz="0" w:space="0" w:color="auto"/>
                    <w:bottom w:val="none" w:sz="0" w:space="0" w:color="auto"/>
                    <w:right w:val="none" w:sz="0" w:space="0" w:color="auto"/>
                  </w:divBdr>
                  <w:divsChild>
                    <w:div w:id="2100129155">
                      <w:marLeft w:val="0"/>
                      <w:marRight w:val="0"/>
                      <w:marTop w:val="0"/>
                      <w:marBottom w:val="0"/>
                      <w:divBdr>
                        <w:top w:val="none" w:sz="0" w:space="0" w:color="auto"/>
                        <w:left w:val="none" w:sz="0" w:space="0" w:color="auto"/>
                        <w:bottom w:val="none" w:sz="0" w:space="0" w:color="auto"/>
                        <w:right w:val="none" w:sz="0" w:space="0" w:color="auto"/>
                      </w:divBdr>
                      <w:divsChild>
                        <w:div w:id="20482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6193">
      <w:bodyDiv w:val="1"/>
      <w:marLeft w:val="0"/>
      <w:marRight w:val="0"/>
      <w:marTop w:val="0"/>
      <w:marBottom w:val="0"/>
      <w:divBdr>
        <w:top w:val="none" w:sz="0" w:space="0" w:color="auto"/>
        <w:left w:val="none" w:sz="0" w:space="0" w:color="auto"/>
        <w:bottom w:val="none" w:sz="0" w:space="0" w:color="auto"/>
        <w:right w:val="none" w:sz="0" w:space="0" w:color="auto"/>
      </w:divBdr>
    </w:div>
    <w:div w:id="501552243">
      <w:bodyDiv w:val="1"/>
      <w:marLeft w:val="0"/>
      <w:marRight w:val="0"/>
      <w:marTop w:val="0"/>
      <w:marBottom w:val="0"/>
      <w:divBdr>
        <w:top w:val="none" w:sz="0" w:space="0" w:color="auto"/>
        <w:left w:val="none" w:sz="0" w:space="0" w:color="auto"/>
        <w:bottom w:val="none" w:sz="0" w:space="0" w:color="auto"/>
        <w:right w:val="none" w:sz="0" w:space="0" w:color="auto"/>
      </w:divBdr>
    </w:div>
    <w:div w:id="745570056">
      <w:bodyDiv w:val="1"/>
      <w:marLeft w:val="375"/>
      <w:marRight w:val="0"/>
      <w:marTop w:val="150"/>
      <w:marBottom w:val="0"/>
      <w:divBdr>
        <w:top w:val="none" w:sz="0" w:space="0" w:color="auto"/>
        <w:left w:val="none" w:sz="0" w:space="0" w:color="auto"/>
        <w:bottom w:val="none" w:sz="0" w:space="0" w:color="auto"/>
        <w:right w:val="none" w:sz="0" w:space="0" w:color="auto"/>
      </w:divBdr>
      <w:divsChild>
        <w:div w:id="1791625705">
          <w:marLeft w:val="0"/>
          <w:marRight w:val="0"/>
          <w:marTop w:val="0"/>
          <w:marBottom w:val="0"/>
          <w:divBdr>
            <w:top w:val="none" w:sz="0" w:space="0" w:color="auto"/>
            <w:left w:val="none" w:sz="0" w:space="0" w:color="auto"/>
            <w:bottom w:val="none" w:sz="0" w:space="0" w:color="auto"/>
            <w:right w:val="none" w:sz="0" w:space="0" w:color="auto"/>
          </w:divBdr>
        </w:div>
      </w:divsChild>
    </w:div>
    <w:div w:id="770589351">
      <w:bodyDiv w:val="1"/>
      <w:marLeft w:val="0"/>
      <w:marRight w:val="0"/>
      <w:marTop w:val="0"/>
      <w:marBottom w:val="0"/>
      <w:divBdr>
        <w:top w:val="none" w:sz="0" w:space="0" w:color="auto"/>
        <w:left w:val="none" w:sz="0" w:space="0" w:color="auto"/>
        <w:bottom w:val="none" w:sz="0" w:space="0" w:color="auto"/>
        <w:right w:val="none" w:sz="0" w:space="0" w:color="auto"/>
      </w:divBdr>
    </w:div>
    <w:div w:id="837235786">
      <w:bodyDiv w:val="1"/>
      <w:marLeft w:val="0"/>
      <w:marRight w:val="0"/>
      <w:marTop w:val="0"/>
      <w:marBottom w:val="0"/>
      <w:divBdr>
        <w:top w:val="none" w:sz="0" w:space="0" w:color="auto"/>
        <w:left w:val="none" w:sz="0" w:space="0" w:color="auto"/>
        <w:bottom w:val="none" w:sz="0" w:space="0" w:color="auto"/>
        <w:right w:val="none" w:sz="0" w:space="0" w:color="auto"/>
      </w:divBdr>
    </w:div>
    <w:div w:id="884172332">
      <w:bodyDiv w:val="1"/>
      <w:marLeft w:val="0"/>
      <w:marRight w:val="0"/>
      <w:marTop w:val="0"/>
      <w:marBottom w:val="0"/>
      <w:divBdr>
        <w:top w:val="none" w:sz="0" w:space="0" w:color="auto"/>
        <w:left w:val="none" w:sz="0" w:space="0" w:color="auto"/>
        <w:bottom w:val="none" w:sz="0" w:space="0" w:color="auto"/>
        <w:right w:val="none" w:sz="0" w:space="0" w:color="auto"/>
      </w:divBdr>
      <w:divsChild>
        <w:div w:id="755859393">
          <w:marLeft w:val="0"/>
          <w:marRight w:val="0"/>
          <w:marTop w:val="0"/>
          <w:marBottom w:val="0"/>
          <w:divBdr>
            <w:top w:val="none" w:sz="0" w:space="0" w:color="auto"/>
            <w:left w:val="none" w:sz="0" w:space="0" w:color="auto"/>
            <w:bottom w:val="none" w:sz="0" w:space="0" w:color="auto"/>
            <w:right w:val="none" w:sz="0" w:space="0" w:color="auto"/>
          </w:divBdr>
          <w:divsChild>
            <w:div w:id="18751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167">
      <w:bodyDiv w:val="1"/>
      <w:marLeft w:val="0"/>
      <w:marRight w:val="0"/>
      <w:marTop w:val="0"/>
      <w:marBottom w:val="0"/>
      <w:divBdr>
        <w:top w:val="none" w:sz="0" w:space="0" w:color="auto"/>
        <w:left w:val="none" w:sz="0" w:space="0" w:color="auto"/>
        <w:bottom w:val="none" w:sz="0" w:space="0" w:color="auto"/>
        <w:right w:val="none" w:sz="0" w:space="0" w:color="auto"/>
      </w:divBdr>
    </w:div>
    <w:div w:id="1027831651">
      <w:bodyDiv w:val="1"/>
      <w:marLeft w:val="0"/>
      <w:marRight w:val="0"/>
      <w:marTop w:val="0"/>
      <w:marBottom w:val="0"/>
      <w:divBdr>
        <w:top w:val="none" w:sz="0" w:space="0" w:color="auto"/>
        <w:left w:val="none" w:sz="0" w:space="0" w:color="auto"/>
        <w:bottom w:val="none" w:sz="0" w:space="0" w:color="auto"/>
        <w:right w:val="none" w:sz="0" w:space="0" w:color="auto"/>
      </w:divBdr>
    </w:div>
    <w:div w:id="1125074654">
      <w:bodyDiv w:val="1"/>
      <w:marLeft w:val="0"/>
      <w:marRight w:val="0"/>
      <w:marTop w:val="0"/>
      <w:marBottom w:val="0"/>
      <w:divBdr>
        <w:top w:val="none" w:sz="0" w:space="0" w:color="auto"/>
        <w:left w:val="none" w:sz="0" w:space="0" w:color="auto"/>
        <w:bottom w:val="none" w:sz="0" w:space="0" w:color="auto"/>
        <w:right w:val="none" w:sz="0" w:space="0" w:color="auto"/>
      </w:divBdr>
      <w:divsChild>
        <w:div w:id="566578667">
          <w:marLeft w:val="0"/>
          <w:marRight w:val="0"/>
          <w:marTop w:val="0"/>
          <w:marBottom w:val="0"/>
          <w:divBdr>
            <w:top w:val="none" w:sz="0" w:space="0" w:color="auto"/>
            <w:left w:val="none" w:sz="0" w:space="0" w:color="auto"/>
            <w:bottom w:val="none" w:sz="0" w:space="0" w:color="auto"/>
            <w:right w:val="none" w:sz="0" w:space="0" w:color="auto"/>
          </w:divBdr>
        </w:div>
      </w:divsChild>
    </w:div>
    <w:div w:id="1175460288">
      <w:bodyDiv w:val="1"/>
      <w:marLeft w:val="0"/>
      <w:marRight w:val="0"/>
      <w:marTop w:val="0"/>
      <w:marBottom w:val="0"/>
      <w:divBdr>
        <w:top w:val="none" w:sz="0" w:space="0" w:color="auto"/>
        <w:left w:val="none" w:sz="0" w:space="0" w:color="auto"/>
        <w:bottom w:val="none" w:sz="0" w:space="0" w:color="auto"/>
        <w:right w:val="none" w:sz="0" w:space="0" w:color="auto"/>
      </w:divBdr>
    </w:div>
    <w:div w:id="1312052938">
      <w:bodyDiv w:val="1"/>
      <w:marLeft w:val="0"/>
      <w:marRight w:val="0"/>
      <w:marTop w:val="0"/>
      <w:marBottom w:val="0"/>
      <w:divBdr>
        <w:top w:val="none" w:sz="0" w:space="0" w:color="auto"/>
        <w:left w:val="none" w:sz="0" w:space="0" w:color="auto"/>
        <w:bottom w:val="none" w:sz="0" w:space="0" w:color="auto"/>
        <w:right w:val="none" w:sz="0" w:space="0" w:color="auto"/>
      </w:divBdr>
    </w:div>
    <w:div w:id="1379011002">
      <w:bodyDiv w:val="1"/>
      <w:marLeft w:val="0"/>
      <w:marRight w:val="0"/>
      <w:marTop w:val="0"/>
      <w:marBottom w:val="0"/>
      <w:divBdr>
        <w:top w:val="none" w:sz="0" w:space="0" w:color="auto"/>
        <w:left w:val="none" w:sz="0" w:space="0" w:color="auto"/>
        <w:bottom w:val="none" w:sz="0" w:space="0" w:color="auto"/>
        <w:right w:val="none" w:sz="0" w:space="0" w:color="auto"/>
      </w:divBdr>
      <w:divsChild>
        <w:div w:id="786890957">
          <w:marLeft w:val="0"/>
          <w:marRight w:val="0"/>
          <w:marTop w:val="0"/>
          <w:marBottom w:val="0"/>
          <w:divBdr>
            <w:top w:val="none" w:sz="0" w:space="0" w:color="auto"/>
            <w:left w:val="none" w:sz="0" w:space="0" w:color="auto"/>
            <w:bottom w:val="none" w:sz="0" w:space="0" w:color="auto"/>
            <w:right w:val="none" w:sz="0" w:space="0" w:color="auto"/>
          </w:divBdr>
          <w:divsChild>
            <w:div w:id="994916841">
              <w:marLeft w:val="0"/>
              <w:marRight w:val="0"/>
              <w:marTop w:val="0"/>
              <w:marBottom w:val="0"/>
              <w:divBdr>
                <w:top w:val="none" w:sz="0" w:space="0" w:color="auto"/>
                <w:left w:val="none" w:sz="0" w:space="0" w:color="auto"/>
                <w:bottom w:val="none" w:sz="0" w:space="0" w:color="auto"/>
                <w:right w:val="none" w:sz="0" w:space="0" w:color="auto"/>
              </w:divBdr>
              <w:divsChild>
                <w:div w:id="837160455">
                  <w:marLeft w:val="0"/>
                  <w:marRight w:val="0"/>
                  <w:marTop w:val="0"/>
                  <w:marBottom w:val="0"/>
                  <w:divBdr>
                    <w:top w:val="none" w:sz="0" w:space="0" w:color="auto"/>
                    <w:left w:val="none" w:sz="0" w:space="0" w:color="auto"/>
                    <w:bottom w:val="none" w:sz="0" w:space="0" w:color="auto"/>
                    <w:right w:val="none" w:sz="0" w:space="0" w:color="auto"/>
                  </w:divBdr>
                  <w:divsChild>
                    <w:div w:id="1206718209">
                      <w:marLeft w:val="0"/>
                      <w:marRight w:val="0"/>
                      <w:marTop w:val="0"/>
                      <w:marBottom w:val="0"/>
                      <w:divBdr>
                        <w:top w:val="none" w:sz="0" w:space="0" w:color="auto"/>
                        <w:left w:val="none" w:sz="0" w:space="0" w:color="auto"/>
                        <w:bottom w:val="none" w:sz="0" w:space="0" w:color="auto"/>
                        <w:right w:val="none" w:sz="0" w:space="0" w:color="auto"/>
                      </w:divBdr>
                      <w:divsChild>
                        <w:div w:id="1651253355">
                          <w:marLeft w:val="0"/>
                          <w:marRight w:val="0"/>
                          <w:marTop w:val="0"/>
                          <w:marBottom w:val="0"/>
                          <w:divBdr>
                            <w:top w:val="none" w:sz="0" w:space="0" w:color="auto"/>
                            <w:left w:val="none" w:sz="0" w:space="0" w:color="auto"/>
                            <w:bottom w:val="none" w:sz="0" w:space="0" w:color="auto"/>
                            <w:right w:val="none" w:sz="0" w:space="0" w:color="auto"/>
                          </w:divBdr>
                          <w:divsChild>
                            <w:div w:id="430780795">
                              <w:marLeft w:val="0"/>
                              <w:marRight w:val="0"/>
                              <w:marTop w:val="0"/>
                              <w:marBottom w:val="153"/>
                              <w:divBdr>
                                <w:top w:val="none" w:sz="0" w:space="0" w:color="auto"/>
                                <w:left w:val="none" w:sz="0" w:space="0" w:color="auto"/>
                                <w:bottom w:val="none" w:sz="0" w:space="0" w:color="auto"/>
                                <w:right w:val="none" w:sz="0" w:space="0" w:color="auto"/>
                              </w:divBdr>
                              <w:divsChild>
                                <w:div w:id="252981175">
                                  <w:marLeft w:val="0"/>
                                  <w:marRight w:val="0"/>
                                  <w:marTop w:val="0"/>
                                  <w:marBottom w:val="0"/>
                                  <w:divBdr>
                                    <w:top w:val="none" w:sz="0" w:space="0" w:color="auto"/>
                                    <w:left w:val="none" w:sz="0" w:space="0" w:color="auto"/>
                                    <w:bottom w:val="none" w:sz="0" w:space="0" w:color="auto"/>
                                    <w:right w:val="none" w:sz="0" w:space="0" w:color="auto"/>
                                  </w:divBdr>
                                  <w:divsChild>
                                    <w:div w:id="1197960110">
                                      <w:marLeft w:val="0"/>
                                      <w:marRight w:val="0"/>
                                      <w:marTop w:val="0"/>
                                      <w:marBottom w:val="0"/>
                                      <w:divBdr>
                                        <w:top w:val="none" w:sz="0" w:space="0" w:color="auto"/>
                                        <w:left w:val="none" w:sz="0" w:space="0" w:color="auto"/>
                                        <w:bottom w:val="none" w:sz="0" w:space="0" w:color="auto"/>
                                        <w:right w:val="none" w:sz="0" w:space="0" w:color="auto"/>
                                      </w:divBdr>
                                      <w:divsChild>
                                        <w:div w:id="1345471905">
                                          <w:marLeft w:val="0"/>
                                          <w:marRight w:val="0"/>
                                          <w:marTop w:val="0"/>
                                          <w:marBottom w:val="0"/>
                                          <w:divBdr>
                                            <w:top w:val="none" w:sz="0" w:space="0" w:color="auto"/>
                                            <w:left w:val="none" w:sz="0" w:space="0" w:color="auto"/>
                                            <w:bottom w:val="none" w:sz="0" w:space="0" w:color="auto"/>
                                            <w:right w:val="none" w:sz="0" w:space="0" w:color="auto"/>
                                          </w:divBdr>
                                          <w:divsChild>
                                            <w:div w:id="8199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43918">
      <w:bodyDiv w:val="1"/>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
      </w:divsChild>
    </w:div>
    <w:div w:id="1480614934">
      <w:bodyDiv w:val="1"/>
      <w:marLeft w:val="0"/>
      <w:marRight w:val="0"/>
      <w:marTop w:val="0"/>
      <w:marBottom w:val="0"/>
      <w:divBdr>
        <w:top w:val="none" w:sz="0" w:space="0" w:color="auto"/>
        <w:left w:val="none" w:sz="0" w:space="0" w:color="auto"/>
        <w:bottom w:val="none" w:sz="0" w:space="0" w:color="auto"/>
        <w:right w:val="none" w:sz="0" w:space="0" w:color="auto"/>
      </w:divBdr>
    </w:div>
    <w:div w:id="1613051864">
      <w:bodyDiv w:val="1"/>
      <w:marLeft w:val="0"/>
      <w:marRight w:val="0"/>
      <w:marTop w:val="0"/>
      <w:marBottom w:val="0"/>
      <w:divBdr>
        <w:top w:val="none" w:sz="0" w:space="0" w:color="auto"/>
        <w:left w:val="none" w:sz="0" w:space="0" w:color="auto"/>
        <w:bottom w:val="none" w:sz="0" w:space="0" w:color="auto"/>
        <w:right w:val="none" w:sz="0" w:space="0" w:color="auto"/>
      </w:divBdr>
      <w:divsChild>
        <w:div w:id="334919911">
          <w:marLeft w:val="0"/>
          <w:marRight w:val="0"/>
          <w:marTop w:val="0"/>
          <w:marBottom w:val="0"/>
          <w:divBdr>
            <w:top w:val="none" w:sz="0" w:space="0" w:color="auto"/>
            <w:left w:val="none" w:sz="0" w:space="0" w:color="auto"/>
            <w:bottom w:val="none" w:sz="0" w:space="0" w:color="auto"/>
            <w:right w:val="none" w:sz="0" w:space="0" w:color="auto"/>
          </w:divBdr>
          <w:divsChild>
            <w:div w:id="291714656">
              <w:marLeft w:val="0"/>
              <w:marRight w:val="0"/>
              <w:marTop w:val="0"/>
              <w:marBottom w:val="0"/>
              <w:divBdr>
                <w:top w:val="none" w:sz="0" w:space="0" w:color="auto"/>
                <w:left w:val="none" w:sz="0" w:space="0" w:color="auto"/>
                <w:bottom w:val="none" w:sz="0" w:space="0" w:color="auto"/>
                <w:right w:val="none" w:sz="0" w:space="0" w:color="auto"/>
              </w:divBdr>
              <w:divsChild>
                <w:div w:id="210919645">
                  <w:marLeft w:val="0"/>
                  <w:marRight w:val="0"/>
                  <w:marTop w:val="0"/>
                  <w:marBottom w:val="0"/>
                  <w:divBdr>
                    <w:top w:val="none" w:sz="0" w:space="0" w:color="auto"/>
                    <w:left w:val="none" w:sz="0" w:space="0" w:color="auto"/>
                    <w:bottom w:val="none" w:sz="0" w:space="0" w:color="auto"/>
                    <w:right w:val="none" w:sz="0" w:space="0" w:color="auto"/>
                  </w:divBdr>
                  <w:divsChild>
                    <w:div w:id="396172660">
                      <w:marLeft w:val="0"/>
                      <w:marRight w:val="0"/>
                      <w:marTop w:val="0"/>
                      <w:marBottom w:val="0"/>
                      <w:divBdr>
                        <w:top w:val="none" w:sz="0" w:space="0" w:color="auto"/>
                        <w:left w:val="none" w:sz="0" w:space="0" w:color="auto"/>
                        <w:bottom w:val="none" w:sz="0" w:space="0" w:color="auto"/>
                        <w:right w:val="none" w:sz="0" w:space="0" w:color="auto"/>
                      </w:divBdr>
                      <w:divsChild>
                        <w:div w:id="1791126286">
                          <w:marLeft w:val="0"/>
                          <w:marRight w:val="0"/>
                          <w:marTop w:val="0"/>
                          <w:marBottom w:val="0"/>
                          <w:divBdr>
                            <w:top w:val="none" w:sz="0" w:space="0" w:color="auto"/>
                            <w:left w:val="none" w:sz="0" w:space="0" w:color="auto"/>
                            <w:bottom w:val="none" w:sz="0" w:space="0" w:color="auto"/>
                            <w:right w:val="none" w:sz="0" w:space="0" w:color="auto"/>
                          </w:divBdr>
                          <w:divsChild>
                            <w:div w:id="1740519000">
                              <w:marLeft w:val="0"/>
                              <w:marRight w:val="0"/>
                              <w:marTop w:val="0"/>
                              <w:marBottom w:val="153"/>
                              <w:divBdr>
                                <w:top w:val="none" w:sz="0" w:space="0" w:color="auto"/>
                                <w:left w:val="none" w:sz="0" w:space="0" w:color="auto"/>
                                <w:bottom w:val="none" w:sz="0" w:space="0" w:color="auto"/>
                                <w:right w:val="none" w:sz="0" w:space="0" w:color="auto"/>
                              </w:divBdr>
                              <w:divsChild>
                                <w:div w:id="610668935">
                                  <w:marLeft w:val="0"/>
                                  <w:marRight w:val="0"/>
                                  <w:marTop w:val="0"/>
                                  <w:marBottom w:val="0"/>
                                  <w:divBdr>
                                    <w:top w:val="none" w:sz="0" w:space="0" w:color="auto"/>
                                    <w:left w:val="none" w:sz="0" w:space="0" w:color="auto"/>
                                    <w:bottom w:val="none" w:sz="0" w:space="0" w:color="auto"/>
                                    <w:right w:val="none" w:sz="0" w:space="0" w:color="auto"/>
                                  </w:divBdr>
                                  <w:divsChild>
                                    <w:div w:id="1397168654">
                                      <w:marLeft w:val="0"/>
                                      <w:marRight w:val="0"/>
                                      <w:marTop w:val="0"/>
                                      <w:marBottom w:val="0"/>
                                      <w:divBdr>
                                        <w:top w:val="none" w:sz="0" w:space="0" w:color="auto"/>
                                        <w:left w:val="none" w:sz="0" w:space="0" w:color="auto"/>
                                        <w:bottom w:val="none" w:sz="0" w:space="0" w:color="auto"/>
                                        <w:right w:val="none" w:sz="0" w:space="0" w:color="auto"/>
                                      </w:divBdr>
                                      <w:divsChild>
                                        <w:div w:id="668755250">
                                          <w:marLeft w:val="0"/>
                                          <w:marRight w:val="0"/>
                                          <w:marTop w:val="0"/>
                                          <w:marBottom w:val="0"/>
                                          <w:divBdr>
                                            <w:top w:val="none" w:sz="0" w:space="0" w:color="auto"/>
                                            <w:left w:val="none" w:sz="0" w:space="0" w:color="auto"/>
                                            <w:bottom w:val="none" w:sz="0" w:space="0" w:color="auto"/>
                                            <w:right w:val="none" w:sz="0" w:space="0" w:color="auto"/>
                                          </w:divBdr>
                                          <w:divsChild>
                                            <w:div w:id="1709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424705">
      <w:bodyDiv w:val="1"/>
      <w:marLeft w:val="0"/>
      <w:marRight w:val="0"/>
      <w:marTop w:val="0"/>
      <w:marBottom w:val="0"/>
      <w:divBdr>
        <w:top w:val="none" w:sz="0" w:space="0" w:color="auto"/>
        <w:left w:val="none" w:sz="0" w:space="0" w:color="auto"/>
        <w:bottom w:val="none" w:sz="0" w:space="0" w:color="auto"/>
        <w:right w:val="none" w:sz="0" w:space="0" w:color="auto"/>
      </w:divBdr>
    </w:div>
    <w:div w:id="1692146130">
      <w:bodyDiv w:val="1"/>
      <w:marLeft w:val="0"/>
      <w:marRight w:val="0"/>
      <w:marTop w:val="0"/>
      <w:marBottom w:val="0"/>
      <w:divBdr>
        <w:top w:val="none" w:sz="0" w:space="0" w:color="auto"/>
        <w:left w:val="none" w:sz="0" w:space="0" w:color="auto"/>
        <w:bottom w:val="none" w:sz="0" w:space="0" w:color="auto"/>
        <w:right w:val="none" w:sz="0" w:space="0" w:color="auto"/>
      </w:divBdr>
    </w:div>
    <w:div w:id="1744372499">
      <w:bodyDiv w:val="1"/>
      <w:marLeft w:val="0"/>
      <w:marRight w:val="0"/>
      <w:marTop w:val="0"/>
      <w:marBottom w:val="0"/>
      <w:divBdr>
        <w:top w:val="none" w:sz="0" w:space="0" w:color="auto"/>
        <w:left w:val="none" w:sz="0" w:space="0" w:color="auto"/>
        <w:bottom w:val="none" w:sz="0" w:space="0" w:color="auto"/>
        <w:right w:val="none" w:sz="0" w:space="0" w:color="auto"/>
      </w:divBdr>
      <w:divsChild>
        <w:div w:id="1916162487">
          <w:marLeft w:val="0"/>
          <w:marRight w:val="0"/>
          <w:marTop w:val="0"/>
          <w:marBottom w:val="0"/>
          <w:divBdr>
            <w:top w:val="none" w:sz="0" w:space="0" w:color="auto"/>
            <w:left w:val="none" w:sz="0" w:space="0" w:color="auto"/>
            <w:bottom w:val="none" w:sz="0" w:space="0" w:color="auto"/>
            <w:right w:val="none" w:sz="0" w:space="0" w:color="auto"/>
          </w:divBdr>
        </w:div>
      </w:divsChild>
    </w:div>
    <w:div w:id="1778258028">
      <w:bodyDiv w:val="1"/>
      <w:marLeft w:val="0"/>
      <w:marRight w:val="0"/>
      <w:marTop w:val="0"/>
      <w:marBottom w:val="0"/>
      <w:divBdr>
        <w:top w:val="none" w:sz="0" w:space="0" w:color="auto"/>
        <w:left w:val="none" w:sz="0" w:space="0" w:color="auto"/>
        <w:bottom w:val="none" w:sz="0" w:space="0" w:color="auto"/>
        <w:right w:val="none" w:sz="0" w:space="0" w:color="auto"/>
      </w:divBdr>
    </w:div>
    <w:div w:id="1901939168">
      <w:bodyDiv w:val="1"/>
      <w:marLeft w:val="0"/>
      <w:marRight w:val="0"/>
      <w:marTop w:val="0"/>
      <w:marBottom w:val="0"/>
      <w:divBdr>
        <w:top w:val="none" w:sz="0" w:space="0" w:color="auto"/>
        <w:left w:val="none" w:sz="0" w:space="0" w:color="auto"/>
        <w:bottom w:val="none" w:sz="0" w:space="0" w:color="auto"/>
        <w:right w:val="none" w:sz="0" w:space="0" w:color="auto"/>
      </w:divBdr>
    </w:div>
    <w:div w:id="195061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x/lex/index.rp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x/lex/index.rp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025643562956794E-2"/>
          <c:y val="6.1730955280963673E-2"/>
          <c:w val="0.77901634883161808"/>
          <c:h val="0.74018638579268425"/>
        </c:manualLayout>
      </c:layout>
      <c:barChart>
        <c:barDir val="col"/>
        <c:grouping val="stacked"/>
        <c:varyColors val="0"/>
        <c:ser>
          <c:idx val="0"/>
          <c:order val="0"/>
          <c:tx>
            <c:strRef>
              <c:f>Arkusz1!$B$1</c:f>
              <c:strCache>
                <c:ptCount val="1"/>
                <c:pt idx="0">
                  <c:v>1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Arkusz1!$B$2:$B$11</c:f>
              <c:numCache>
                <c:formatCode>General</c:formatCode>
                <c:ptCount val="10"/>
                <c:pt idx="0">
                  <c:v>1.5</c:v>
                </c:pt>
                <c:pt idx="1">
                  <c:v>5.7</c:v>
                </c:pt>
                <c:pt idx="2">
                  <c:v>5.6</c:v>
                </c:pt>
                <c:pt idx="3">
                  <c:v>5.4</c:v>
                </c:pt>
                <c:pt idx="4">
                  <c:v>62.7</c:v>
                </c:pt>
                <c:pt idx="5">
                  <c:v>0</c:v>
                </c:pt>
                <c:pt idx="6">
                  <c:v>0</c:v>
                </c:pt>
                <c:pt idx="7">
                  <c:v>0</c:v>
                </c:pt>
                <c:pt idx="8">
                  <c:v>0</c:v>
                </c:pt>
                <c:pt idx="9">
                  <c:v>0</c:v>
                </c:pt>
              </c:numCache>
            </c:numRef>
          </c:val>
        </c:ser>
        <c:ser>
          <c:idx val="1"/>
          <c:order val="1"/>
          <c:tx>
            <c:strRef>
              <c:f>Arkusz1!$C$1</c:f>
              <c:strCache>
                <c:ptCount val="1"/>
                <c:pt idx="0">
                  <c:v>2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Arkusz1!$C$2:$C$11</c:f>
              <c:numCache>
                <c:formatCode>General</c:formatCode>
                <c:ptCount val="10"/>
                <c:pt idx="0">
                  <c:v>0</c:v>
                </c:pt>
                <c:pt idx="1">
                  <c:v>1.5</c:v>
                </c:pt>
                <c:pt idx="2">
                  <c:v>5.7</c:v>
                </c:pt>
                <c:pt idx="3">
                  <c:v>5.6</c:v>
                </c:pt>
                <c:pt idx="4">
                  <c:v>66.400000000000006</c:v>
                </c:pt>
                <c:pt idx="5">
                  <c:v>0</c:v>
                </c:pt>
                <c:pt idx="6">
                  <c:v>0</c:v>
                </c:pt>
                <c:pt idx="7">
                  <c:v>0</c:v>
                </c:pt>
                <c:pt idx="8">
                  <c:v>0</c:v>
                </c:pt>
                <c:pt idx="9">
                  <c:v>0</c:v>
                </c:pt>
              </c:numCache>
            </c:numRef>
          </c:val>
        </c:ser>
        <c:ser>
          <c:idx val="2"/>
          <c:order val="2"/>
          <c:tx>
            <c:strRef>
              <c:f>Arkusz1!$D$1</c:f>
              <c:strCache>
                <c:ptCount val="1"/>
                <c:pt idx="0">
                  <c:v>3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Arkusz1!$D$2:$D$11</c:f>
              <c:numCache>
                <c:formatCode>General</c:formatCode>
                <c:ptCount val="10"/>
                <c:pt idx="0">
                  <c:v>0</c:v>
                </c:pt>
                <c:pt idx="1">
                  <c:v>0</c:v>
                </c:pt>
                <c:pt idx="2">
                  <c:v>1.5</c:v>
                </c:pt>
                <c:pt idx="3">
                  <c:v>5.7</c:v>
                </c:pt>
                <c:pt idx="4">
                  <c:v>70.099999999999994</c:v>
                </c:pt>
                <c:pt idx="5">
                  <c:v>0</c:v>
                </c:pt>
                <c:pt idx="6">
                  <c:v>0</c:v>
                </c:pt>
                <c:pt idx="7">
                  <c:v>0</c:v>
                </c:pt>
                <c:pt idx="8">
                  <c:v>0</c:v>
                </c:pt>
                <c:pt idx="9">
                  <c:v>0</c:v>
                </c:pt>
              </c:numCache>
            </c:numRef>
          </c:val>
        </c:ser>
        <c:ser>
          <c:idx val="3"/>
          <c:order val="3"/>
          <c:tx>
            <c:strRef>
              <c:f>Arkusz1!$E$1</c:f>
              <c:strCache>
                <c:ptCount val="1"/>
                <c:pt idx="0">
                  <c:v>4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Arkusz1!$E$2:$E$11</c:f>
              <c:numCache>
                <c:formatCode>General</c:formatCode>
                <c:ptCount val="10"/>
                <c:pt idx="0">
                  <c:v>0</c:v>
                </c:pt>
                <c:pt idx="1">
                  <c:v>0</c:v>
                </c:pt>
                <c:pt idx="2">
                  <c:v>0</c:v>
                </c:pt>
                <c:pt idx="3">
                  <c:v>1.5</c:v>
                </c:pt>
                <c:pt idx="4">
                  <c:v>73.8</c:v>
                </c:pt>
                <c:pt idx="5">
                  <c:v>0</c:v>
                </c:pt>
                <c:pt idx="6">
                  <c:v>0</c:v>
                </c:pt>
                <c:pt idx="7">
                  <c:v>0</c:v>
                </c:pt>
                <c:pt idx="8">
                  <c:v>0</c:v>
                </c:pt>
                <c:pt idx="9">
                  <c:v>0</c:v>
                </c:pt>
              </c:numCache>
            </c:numRef>
          </c:val>
        </c:ser>
        <c:ser>
          <c:idx val="4"/>
          <c:order val="4"/>
          <c:tx>
            <c:strRef>
              <c:f>Arkusz1!$F$1</c:f>
              <c:strCache>
                <c:ptCount val="1"/>
                <c:pt idx="0">
                  <c:v>5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Arkusz1!$F$2:$F$11</c:f>
              <c:numCache>
                <c:formatCode>General</c:formatCode>
                <c:ptCount val="10"/>
                <c:pt idx="0">
                  <c:v>0</c:v>
                </c:pt>
                <c:pt idx="1">
                  <c:v>0</c:v>
                </c:pt>
                <c:pt idx="2">
                  <c:v>0</c:v>
                </c:pt>
                <c:pt idx="3">
                  <c:v>0</c:v>
                </c:pt>
                <c:pt idx="4">
                  <c:v>73.2</c:v>
                </c:pt>
                <c:pt idx="5">
                  <c:v>0</c:v>
                </c:pt>
                <c:pt idx="6">
                  <c:v>0</c:v>
                </c:pt>
                <c:pt idx="7">
                  <c:v>0</c:v>
                </c:pt>
                <c:pt idx="8">
                  <c:v>0</c:v>
                </c:pt>
                <c:pt idx="9">
                  <c:v>0</c:v>
                </c:pt>
              </c:numCache>
            </c:numRef>
          </c:val>
        </c:ser>
        <c:ser>
          <c:idx val="5"/>
          <c:order val="5"/>
          <c:tx>
            <c:strRef>
              <c:f>Arkusz1!$G$1</c:f>
              <c:strCache>
                <c:ptCount val="1"/>
                <c:pt idx="0">
                  <c:v>6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Arkusz1!$G$2:$G$11</c:f>
              <c:numCache>
                <c:formatCode>General</c:formatCode>
                <c:ptCount val="10"/>
                <c:pt idx="0">
                  <c:v>0</c:v>
                </c:pt>
                <c:pt idx="1">
                  <c:v>0</c:v>
                </c:pt>
                <c:pt idx="2">
                  <c:v>0</c:v>
                </c:pt>
                <c:pt idx="3">
                  <c:v>0</c:v>
                </c:pt>
                <c:pt idx="4">
                  <c:v>0</c:v>
                </c:pt>
                <c:pt idx="5">
                  <c:v>73.2</c:v>
                </c:pt>
                <c:pt idx="6">
                  <c:v>0</c:v>
                </c:pt>
                <c:pt idx="7">
                  <c:v>0</c:v>
                </c:pt>
                <c:pt idx="8">
                  <c:v>0</c:v>
                </c:pt>
                <c:pt idx="9">
                  <c:v>0</c:v>
                </c:pt>
              </c:numCache>
            </c:numRef>
          </c:val>
        </c:ser>
        <c:ser>
          <c:idx val="6"/>
          <c:order val="6"/>
          <c:tx>
            <c:strRef>
              <c:f>Arkusz1!$H$1</c:f>
              <c:strCache>
                <c:ptCount val="1"/>
                <c:pt idx="0">
                  <c:v>7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Arkusz1!$H$2:$H$11</c:f>
              <c:numCache>
                <c:formatCode>General</c:formatCode>
                <c:ptCount val="10"/>
                <c:pt idx="0">
                  <c:v>0</c:v>
                </c:pt>
                <c:pt idx="1">
                  <c:v>0</c:v>
                </c:pt>
                <c:pt idx="2">
                  <c:v>0</c:v>
                </c:pt>
                <c:pt idx="3">
                  <c:v>0</c:v>
                </c:pt>
                <c:pt idx="4">
                  <c:v>0</c:v>
                </c:pt>
                <c:pt idx="5">
                  <c:v>0</c:v>
                </c:pt>
                <c:pt idx="6">
                  <c:v>73.2</c:v>
                </c:pt>
                <c:pt idx="7">
                  <c:v>0</c:v>
                </c:pt>
                <c:pt idx="8">
                  <c:v>0</c:v>
                </c:pt>
                <c:pt idx="9">
                  <c:v>0</c:v>
                </c:pt>
              </c:numCache>
            </c:numRef>
          </c:val>
        </c:ser>
        <c:ser>
          <c:idx val="7"/>
          <c:order val="7"/>
          <c:tx>
            <c:strRef>
              <c:f>Arkusz1!$I$1</c:f>
              <c:strCache>
                <c:ptCount val="1"/>
                <c:pt idx="0">
                  <c:v>8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Arkusz1!$I$2:$I$11</c:f>
              <c:numCache>
                <c:formatCode>General</c:formatCode>
                <c:ptCount val="10"/>
                <c:pt idx="0">
                  <c:v>0</c:v>
                </c:pt>
                <c:pt idx="1">
                  <c:v>0</c:v>
                </c:pt>
                <c:pt idx="2">
                  <c:v>0</c:v>
                </c:pt>
                <c:pt idx="3">
                  <c:v>0</c:v>
                </c:pt>
                <c:pt idx="4">
                  <c:v>0</c:v>
                </c:pt>
                <c:pt idx="5">
                  <c:v>0</c:v>
                </c:pt>
                <c:pt idx="6">
                  <c:v>0</c:v>
                </c:pt>
                <c:pt idx="7">
                  <c:v>73.2</c:v>
                </c:pt>
                <c:pt idx="8">
                  <c:v>0</c:v>
                </c:pt>
                <c:pt idx="9">
                  <c:v>0</c:v>
                </c:pt>
              </c:numCache>
            </c:numRef>
          </c:val>
        </c:ser>
        <c:ser>
          <c:idx val="8"/>
          <c:order val="8"/>
          <c:tx>
            <c:strRef>
              <c:f>Arkusz1!$J$1</c:f>
              <c:strCache>
                <c:ptCount val="1"/>
                <c:pt idx="0">
                  <c:v>9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Arkusz1!$J$2:$J$11</c:f>
              <c:numCache>
                <c:formatCode>General</c:formatCode>
                <c:ptCount val="10"/>
                <c:pt idx="0">
                  <c:v>0</c:v>
                </c:pt>
                <c:pt idx="1">
                  <c:v>0</c:v>
                </c:pt>
                <c:pt idx="2">
                  <c:v>0</c:v>
                </c:pt>
                <c:pt idx="3">
                  <c:v>0</c:v>
                </c:pt>
                <c:pt idx="4">
                  <c:v>0</c:v>
                </c:pt>
                <c:pt idx="5">
                  <c:v>0</c:v>
                </c:pt>
                <c:pt idx="6">
                  <c:v>0</c:v>
                </c:pt>
                <c:pt idx="7">
                  <c:v>0</c:v>
                </c:pt>
                <c:pt idx="8">
                  <c:v>73.2</c:v>
                </c:pt>
              </c:numCache>
            </c:numRef>
          </c:val>
        </c:ser>
        <c:ser>
          <c:idx val="9"/>
          <c:order val="9"/>
          <c:tx>
            <c:strRef>
              <c:f>Arkusz1!$K$1</c:f>
              <c:strCache>
                <c:ptCount val="1"/>
                <c:pt idx="0">
                  <c:v>10 edycja</c:v>
                </c:pt>
              </c:strCache>
            </c:strRef>
          </c:tx>
          <c:invertIfNegative val="0"/>
          <c:cat>
            <c:strRef>
              <c:f>Arkusz1!$A$2:$A$11</c:f>
              <c:strCache>
                <c:ptCount val="10"/>
                <c:pt idx="0">
                  <c:v>2015/2016</c:v>
                </c:pt>
                <c:pt idx="1">
                  <c:v>2016/2017</c:v>
                </c:pt>
                <c:pt idx="2">
                  <c:v>2017/2018</c:v>
                </c:pt>
                <c:pt idx="3">
                  <c:v>2018/2019</c:v>
                </c:pt>
                <c:pt idx="4">
                  <c:v>2019/2020</c:v>
                </c:pt>
                <c:pt idx="5">
                  <c:v>2020/2021</c:v>
                </c:pt>
                <c:pt idx="6">
                  <c:v>2021/2022</c:v>
                </c:pt>
                <c:pt idx="7">
                  <c:v>2022/2023</c:v>
                </c:pt>
                <c:pt idx="8">
                  <c:v>2023/2024</c:v>
                </c:pt>
                <c:pt idx="9">
                  <c:v>2024/2025</c:v>
                </c:pt>
              </c:strCache>
            </c:strRef>
          </c:cat>
          <c:val>
            <c:numRef>
              <c:f>Arkusz1!$K$2:$K$11</c:f>
              <c:numCache>
                <c:formatCode>General</c:formatCode>
                <c:ptCount val="10"/>
                <c:pt idx="0">
                  <c:v>0</c:v>
                </c:pt>
                <c:pt idx="1">
                  <c:v>0</c:v>
                </c:pt>
                <c:pt idx="2">
                  <c:v>0</c:v>
                </c:pt>
                <c:pt idx="3">
                  <c:v>0</c:v>
                </c:pt>
                <c:pt idx="4">
                  <c:v>0</c:v>
                </c:pt>
                <c:pt idx="5">
                  <c:v>0</c:v>
                </c:pt>
                <c:pt idx="6">
                  <c:v>0</c:v>
                </c:pt>
                <c:pt idx="7">
                  <c:v>0</c:v>
                </c:pt>
                <c:pt idx="8">
                  <c:v>0</c:v>
                </c:pt>
                <c:pt idx="9">
                  <c:v>73.2</c:v>
                </c:pt>
              </c:numCache>
            </c:numRef>
          </c:val>
        </c:ser>
        <c:dLbls>
          <c:showLegendKey val="0"/>
          <c:showVal val="0"/>
          <c:showCatName val="0"/>
          <c:showSerName val="0"/>
          <c:showPercent val="0"/>
          <c:showBubbleSize val="0"/>
        </c:dLbls>
        <c:gapWidth val="150"/>
        <c:overlap val="100"/>
        <c:axId val="129267200"/>
        <c:axId val="129268736"/>
      </c:barChart>
      <c:catAx>
        <c:axId val="129267200"/>
        <c:scaling>
          <c:orientation val="minMax"/>
        </c:scaling>
        <c:delete val="0"/>
        <c:axPos val="b"/>
        <c:numFmt formatCode="General" sourceLinked="1"/>
        <c:majorTickMark val="out"/>
        <c:minorTickMark val="none"/>
        <c:tickLblPos val="nextTo"/>
        <c:crossAx val="129268736"/>
        <c:crosses val="autoZero"/>
        <c:auto val="1"/>
        <c:lblAlgn val="ctr"/>
        <c:lblOffset val="100"/>
        <c:noMultiLvlLbl val="0"/>
      </c:catAx>
      <c:valAx>
        <c:axId val="129268736"/>
        <c:scaling>
          <c:orientation val="minMax"/>
        </c:scaling>
        <c:delete val="0"/>
        <c:axPos val="l"/>
        <c:majorGridlines/>
        <c:numFmt formatCode="General" sourceLinked="1"/>
        <c:majorTickMark val="out"/>
        <c:minorTickMark val="none"/>
        <c:tickLblPos val="nextTo"/>
        <c:crossAx val="12926720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590523406796412E-2"/>
          <c:y val="4.418913307478356E-2"/>
          <c:w val="0.90896554597342016"/>
          <c:h val="0.78382418615583505"/>
        </c:manualLayout>
      </c:layout>
      <c:lineChart>
        <c:grouping val="standard"/>
        <c:varyColors val="0"/>
        <c:ser>
          <c:idx val="0"/>
          <c:order val="0"/>
          <c:tx>
            <c:strRef>
              <c:f>Arkusz1!$A$16</c:f>
              <c:strCache>
                <c:ptCount val="1"/>
                <c:pt idx="0">
                  <c:v>cena 1m2 pow. użytkowej budynków mieszkalnych (GUS)</c:v>
                </c:pt>
              </c:strCache>
            </c:strRef>
          </c:tx>
          <c:marker>
            <c:symbol val="none"/>
          </c:marker>
          <c:cat>
            <c:strRef>
              <c:f>Arkusz1!$B$15:$AN$15</c:f>
              <c:strCache>
                <c:ptCount val="39"/>
                <c:pt idx="0">
                  <c:v>I.2005</c:v>
                </c:pt>
                <c:pt idx="1">
                  <c:v>II.2005</c:v>
                </c:pt>
                <c:pt idx="2">
                  <c:v>III.2005</c:v>
                </c:pt>
                <c:pt idx="3">
                  <c:v>IV.2005</c:v>
                </c:pt>
                <c:pt idx="4">
                  <c:v>I.2006</c:v>
                </c:pt>
                <c:pt idx="5">
                  <c:v>II.2006</c:v>
                </c:pt>
                <c:pt idx="6">
                  <c:v>III.2006</c:v>
                </c:pt>
                <c:pt idx="7">
                  <c:v>IV.2006</c:v>
                </c:pt>
                <c:pt idx="8">
                  <c:v>I.2007</c:v>
                </c:pt>
                <c:pt idx="9">
                  <c:v>II.2007</c:v>
                </c:pt>
                <c:pt idx="10">
                  <c:v>III.2007</c:v>
                </c:pt>
                <c:pt idx="11">
                  <c:v>IV.2007</c:v>
                </c:pt>
                <c:pt idx="12">
                  <c:v>I.2008</c:v>
                </c:pt>
                <c:pt idx="13">
                  <c:v>II.2008</c:v>
                </c:pt>
                <c:pt idx="14">
                  <c:v>III.2008</c:v>
                </c:pt>
                <c:pt idx="15">
                  <c:v>IV.2008</c:v>
                </c:pt>
                <c:pt idx="16">
                  <c:v>I.2009</c:v>
                </c:pt>
                <c:pt idx="17">
                  <c:v>II.2009</c:v>
                </c:pt>
                <c:pt idx="18">
                  <c:v>III.2009</c:v>
                </c:pt>
                <c:pt idx="19">
                  <c:v>IV.2009</c:v>
                </c:pt>
                <c:pt idx="20">
                  <c:v>I.2010</c:v>
                </c:pt>
                <c:pt idx="21">
                  <c:v>II.2010</c:v>
                </c:pt>
                <c:pt idx="22">
                  <c:v>III.2010</c:v>
                </c:pt>
                <c:pt idx="23">
                  <c:v>IV.2010</c:v>
                </c:pt>
                <c:pt idx="24">
                  <c:v>I.2011</c:v>
                </c:pt>
                <c:pt idx="25">
                  <c:v>II.2011</c:v>
                </c:pt>
                <c:pt idx="26">
                  <c:v>III.2011</c:v>
                </c:pt>
                <c:pt idx="27">
                  <c:v>IV.2011</c:v>
                </c:pt>
                <c:pt idx="28">
                  <c:v>I.2012</c:v>
                </c:pt>
                <c:pt idx="29">
                  <c:v>II.2012</c:v>
                </c:pt>
                <c:pt idx="30">
                  <c:v>III.2012</c:v>
                </c:pt>
                <c:pt idx="31">
                  <c:v>IV.2012</c:v>
                </c:pt>
                <c:pt idx="32">
                  <c:v>I.2013</c:v>
                </c:pt>
                <c:pt idx="33">
                  <c:v>II.2013</c:v>
                </c:pt>
                <c:pt idx="34">
                  <c:v>III.2013</c:v>
                </c:pt>
                <c:pt idx="35">
                  <c:v>IV.2013</c:v>
                </c:pt>
                <c:pt idx="36">
                  <c:v>I.2014</c:v>
                </c:pt>
                <c:pt idx="37">
                  <c:v>II.2014</c:v>
                </c:pt>
                <c:pt idx="38">
                  <c:v>III.2014</c:v>
                </c:pt>
              </c:strCache>
            </c:strRef>
          </c:cat>
          <c:val>
            <c:numRef>
              <c:f>Arkusz1!$B$16:$AN$16</c:f>
              <c:numCache>
                <c:formatCode>General</c:formatCode>
                <c:ptCount val="39"/>
                <c:pt idx="0">
                  <c:v>2505</c:v>
                </c:pt>
                <c:pt idx="1">
                  <c:v>2336</c:v>
                </c:pt>
                <c:pt idx="2">
                  <c:v>2528</c:v>
                </c:pt>
                <c:pt idx="3">
                  <c:v>2388</c:v>
                </c:pt>
                <c:pt idx="4">
                  <c:v>2560</c:v>
                </c:pt>
                <c:pt idx="5">
                  <c:v>2445</c:v>
                </c:pt>
                <c:pt idx="6">
                  <c:v>2557</c:v>
                </c:pt>
                <c:pt idx="7">
                  <c:v>2619</c:v>
                </c:pt>
                <c:pt idx="8">
                  <c:v>2683</c:v>
                </c:pt>
                <c:pt idx="9">
                  <c:v>2650</c:v>
                </c:pt>
                <c:pt idx="10">
                  <c:v>3041</c:v>
                </c:pt>
                <c:pt idx="11">
                  <c:v>2890</c:v>
                </c:pt>
                <c:pt idx="12">
                  <c:v>2970</c:v>
                </c:pt>
                <c:pt idx="13">
                  <c:v>3186</c:v>
                </c:pt>
                <c:pt idx="14">
                  <c:v>3478</c:v>
                </c:pt>
                <c:pt idx="15">
                  <c:v>3631</c:v>
                </c:pt>
                <c:pt idx="16">
                  <c:v>3895</c:v>
                </c:pt>
                <c:pt idx="17">
                  <c:v>3924</c:v>
                </c:pt>
                <c:pt idx="18">
                  <c:v>3783</c:v>
                </c:pt>
                <c:pt idx="19">
                  <c:v>3964</c:v>
                </c:pt>
                <c:pt idx="20">
                  <c:v>4372</c:v>
                </c:pt>
                <c:pt idx="21">
                  <c:v>4433</c:v>
                </c:pt>
                <c:pt idx="22">
                  <c:v>4657</c:v>
                </c:pt>
                <c:pt idx="23">
                  <c:v>3979</c:v>
                </c:pt>
                <c:pt idx="24">
                  <c:v>3797</c:v>
                </c:pt>
                <c:pt idx="25">
                  <c:v>3819</c:v>
                </c:pt>
                <c:pt idx="26">
                  <c:v>3988</c:v>
                </c:pt>
                <c:pt idx="27">
                  <c:v>3829</c:v>
                </c:pt>
                <c:pt idx="28">
                  <c:v>3797</c:v>
                </c:pt>
                <c:pt idx="29">
                  <c:v>3819</c:v>
                </c:pt>
                <c:pt idx="30">
                  <c:v>3988</c:v>
                </c:pt>
                <c:pt idx="31">
                  <c:v>3829</c:v>
                </c:pt>
                <c:pt idx="32">
                  <c:v>4019</c:v>
                </c:pt>
                <c:pt idx="33">
                  <c:v>3879</c:v>
                </c:pt>
                <c:pt idx="34">
                  <c:v>3975</c:v>
                </c:pt>
                <c:pt idx="35">
                  <c:v>4228</c:v>
                </c:pt>
                <c:pt idx="36">
                  <c:v>4129</c:v>
                </c:pt>
                <c:pt idx="37">
                  <c:v>4141</c:v>
                </c:pt>
                <c:pt idx="38">
                  <c:v>3880</c:v>
                </c:pt>
              </c:numCache>
            </c:numRef>
          </c:val>
          <c:smooth val="0"/>
        </c:ser>
        <c:ser>
          <c:idx val="1"/>
          <c:order val="1"/>
          <c:tx>
            <c:strRef>
              <c:f>Arkusz1!$A$17</c:f>
              <c:strCache>
                <c:ptCount val="1"/>
                <c:pt idx="0">
                  <c:v>średnia arytmetyczna 4 ostatnio ogłoszonych wskaźników ceny 1 m2</c:v>
                </c:pt>
              </c:strCache>
            </c:strRef>
          </c:tx>
          <c:marker>
            <c:symbol val="none"/>
          </c:marker>
          <c:cat>
            <c:strRef>
              <c:f>Arkusz1!$B$15:$AN$15</c:f>
              <c:strCache>
                <c:ptCount val="39"/>
                <c:pt idx="0">
                  <c:v>I.2005</c:v>
                </c:pt>
                <c:pt idx="1">
                  <c:v>II.2005</c:v>
                </c:pt>
                <c:pt idx="2">
                  <c:v>III.2005</c:v>
                </c:pt>
                <c:pt idx="3">
                  <c:v>IV.2005</c:v>
                </c:pt>
                <c:pt idx="4">
                  <c:v>I.2006</c:v>
                </c:pt>
                <c:pt idx="5">
                  <c:v>II.2006</c:v>
                </c:pt>
                <c:pt idx="6">
                  <c:v>III.2006</c:v>
                </c:pt>
                <c:pt idx="7">
                  <c:v>IV.2006</c:v>
                </c:pt>
                <c:pt idx="8">
                  <c:v>I.2007</c:v>
                </c:pt>
                <c:pt idx="9">
                  <c:v>II.2007</c:v>
                </c:pt>
                <c:pt idx="10">
                  <c:v>III.2007</c:v>
                </c:pt>
                <c:pt idx="11">
                  <c:v>IV.2007</c:v>
                </c:pt>
                <c:pt idx="12">
                  <c:v>I.2008</c:v>
                </c:pt>
                <c:pt idx="13">
                  <c:v>II.2008</c:v>
                </c:pt>
                <c:pt idx="14">
                  <c:v>III.2008</c:v>
                </c:pt>
                <c:pt idx="15">
                  <c:v>IV.2008</c:v>
                </c:pt>
                <c:pt idx="16">
                  <c:v>I.2009</c:v>
                </c:pt>
                <c:pt idx="17">
                  <c:v>II.2009</c:v>
                </c:pt>
                <c:pt idx="18">
                  <c:v>III.2009</c:v>
                </c:pt>
                <c:pt idx="19">
                  <c:v>IV.2009</c:v>
                </c:pt>
                <c:pt idx="20">
                  <c:v>I.2010</c:v>
                </c:pt>
                <c:pt idx="21">
                  <c:v>II.2010</c:v>
                </c:pt>
                <c:pt idx="22">
                  <c:v>III.2010</c:v>
                </c:pt>
                <c:pt idx="23">
                  <c:v>IV.2010</c:v>
                </c:pt>
                <c:pt idx="24">
                  <c:v>I.2011</c:v>
                </c:pt>
                <c:pt idx="25">
                  <c:v>II.2011</c:v>
                </c:pt>
                <c:pt idx="26">
                  <c:v>III.2011</c:v>
                </c:pt>
                <c:pt idx="27">
                  <c:v>IV.2011</c:v>
                </c:pt>
                <c:pt idx="28">
                  <c:v>I.2012</c:v>
                </c:pt>
                <c:pt idx="29">
                  <c:v>II.2012</c:v>
                </c:pt>
                <c:pt idx="30">
                  <c:v>III.2012</c:v>
                </c:pt>
                <c:pt idx="31">
                  <c:v>IV.2012</c:v>
                </c:pt>
                <c:pt idx="32">
                  <c:v>I.2013</c:v>
                </c:pt>
                <c:pt idx="33">
                  <c:v>II.2013</c:v>
                </c:pt>
                <c:pt idx="34">
                  <c:v>III.2013</c:v>
                </c:pt>
                <c:pt idx="35">
                  <c:v>IV.2013</c:v>
                </c:pt>
                <c:pt idx="36">
                  <c:v>I.2014</c:v>
                </c:pt>
                <c:pt idx="37">
                  <c:v>II.2014</c:v>
                </c:pt>
                <c:pt idx="38">
                  <c:v>III.2014</c:v>
                </c:pt>
              </c:strCache>
            </c:strRef>
          </c:cat>
          <c:val>
            <c:numRef>
              <c:f>Arkusz1!$B$17:$AN$17</c:f>
              <c:numCache>
                <c:formatCode>General</c:formatCode>
                <c:ptCount val="39"/>
                <c:pt idx="3">
                  <c:v>2439.25</c:v>
                </c:pt>
                <c:pt idx="4">
                  <c:v>2453</c:v>
                </c:pt>
                <c:pt idx="5">
                  <c:v>2480.25</c:v>
                </c:pt>
                <c:pt idx="6">
                  <c:v>2487.5</c:v>
                </c:pt>
                <c:pt idx="7">
                  <c:v>2545.25</c:v>
                </c:pt>
                <c:pt idx="8">
                  <c:v>2576</c:v>
                </c:pt>
                <c:pt idx="9">
                  <c:v>2627.25</c:v>
                </c:pt>
                <c:pt idx="10">
                  <c:v>2748.25</c:v>
                </c:pt>
                <c:pt idx="11">
                  <c:v>2816</c:v>
                </c:pt>
                <c:pt idx="12">
                  <c:v>2887.75</c:v>
                </c:pt>
                <c:pt idx="13">
                  <c:v>3021.75</c:v>
                </c:pt>
                <c:pt idx="14">
                  <c:v>3131</c:v>
                </c:pt>
                <c:pt idx="15">
                  <c:v>3316.25</c:v>
                </c:pt>
                <c:pt idx="16">
                  <c:v>3547.5</c:v>
                </c:pt>
                <c:pt idx="17">
                  <c:v>3732</c:v>
                </c:pt>
                <c:pt idx="18">
                  <c:v>3808.25</c:v>
                </c:pt>
                <c:pt idx="19">
                  <c:v>3891.5</c:v>
                </c:pt>
                <c:pt idx="20">
                  <c:v>4010.75</c:v>
                </c:pt>
                <c:pt idx="21">
                  <c:v>4138</c:v>
                </c:pt>
                <c:pt idx="22">
                  <c:v>4356.5</c:v>
                </c:pt>
                <c:pt idx="23">
                  <c:v>4360.25</c:v>
                </c:pt>
                <c:pt idx="24">
                  <c:v>4216.5</c:v>
                </c:pt>
                <c:pt idx="25">
                  <c:v>4063</c:v>
                </c:pt>
                <c:pt idx="26">
                  <c:v>3895.75</c:v>
                </c:pt>
                <c:pt idx="27">
                  <c:v>3858.25</c:v>
                </c:pt>
                <c:pt idx="28">
                  <c:v>3858.25</c:v>
                </c:pt>
                <c:pt idx="29">
                  <c:v>3858.25</c:v>
                </c:pt>
                <c:pt idx="30">
                  <c:v>3858.25</c:v>
                </c:pt>
                <c:pt idx="31">
                  <c:v>3858.25</c:v>
                </c:pt>
                <c:pt idx="32">
                  <c:v>3913.75</c:v>
                </c:pt>
                <c:pt idx="33">
                  <c:v>3928.75</c:v>
                </c:pt>
                <c:pt idx="34">
                  <c:v>3925.5</c:v>
                </c:pt>
                <c:pt idx="35">
                  <c:v>4025.25</c:v>
                </c:pt>
                <c:pt idx="36">
                  <c:v>4052.75</c:v>
                </c:pt>
                <c:pt idx="37">
                  <c:v>4118.25</c:v>
                </c:pt>
                <c:pt idx="38">
                  <c:v>4094.5</c:v>
                </c:pt>
              </c:numCache>
            </c:numRef>
          </c:val>
          <c:smooth val="0"/>
        </c:ser>
        <c:dLbls>
          <c:showLegendKey val="0"/>
          <c:showVal val="0"/>
          <c:showCatName val="0"/>
          <c:showSerName val="0"/>
          <c:showPercent val="0"/>
          <c:showBubbleSize val="0"/>
        </c:dLbls>
        <c:marker val="1"/>
        <c:smooth val="0"/>
        <c:axId val="42672896"/>
        <c:axId val="42674432"/>
      </c:lineChart>
      <c:catAx>
        <c:axId val="42672896"/>
        <c:scaling>
          <c:orientation val="minMax"/>
        </c:scaling>
        <c:delete val="0"/>
        <c:axPos val="b"/>
        <c:majorTickMark val="out"/>
        <c:minorTickMark val="none"/>
        <c:tickLblPos val="nextTo"/>
        <c:txPr>
          <a:bodyPr/>
          <a:lstStyle/>
          <a:p>
            <a:pPr>
              <a:defRPr sz="800" baseline="0"/>
            </a:pPr>
            <a:endParaRPr lang="pl-PL"/>
          </a:p>
        </c:txPr>
        <c:crossAx val="42674432"/>
        <c:crosses val="autoZero"/>
        <c:auto val="1"/>
        <c:lblAlgn val="ctr"/>
        <c:lblOffset val="100"/>
        <c:noMultiLvlLbl val="0"/>
      </c:catAx>
      <c:valAx>
        <c:axId val="42674432"/>
        <c:scaling>
          <c:orientation val="minMax"/>
          <c:min val="2200"/>
        </c:scaling>
        <c:delete val="0"/>
        <c:axPos val="l"/>
        <c:majorGridlines/>
        <c:numFmt formatCode="General" sourceLinked="1"/>
        <c:majorTickMark val="out"/>
        <c:minorTickMark val="none"/>
        <c:tickLblPos val="nextTo"/>
        <c:txPr>
          <a:bodyPr/>
          <a:lstStyle/>
          <a:p>
            <a:pPr>
              <a:defRPr sz="800" baseline="0"/>
            </a:pPr>
            <a:endParaRPr lang="pl-PL"/>
          </a:p>
        </c:txPr>
        <c:crossAx val="42672896"/>
        <c:crosses val="autoZero"/>
        <c:crossBetween val="between"/>
      </c:valAx>
    </c:plotArea>
    <c:legend>
      <c:legendPos val="r"/>
      <c:layout>
        <c:manualLayout>
          <c:xMode val="edge"/>
          <c:yMode val="edge"/>
          <c:x val="0.39848498970976337"/>
          <c:y val="0.58325192932972858"/>
          <c:w val="0.60024515381214705"/>
          <c:h val="0.24012598425196854"/>
        </c:manualLayout>
      </c:layout>
      <c:overlay val="0"/>
      <c:txPr>
        <a:bodyPr/>
        <a:lstStyle/>
        <a:p>
          <a:pPr>
            <a:defRPr sz="800" baseline="0"/>
          </a:pPr>
          <a:endParaRPr lang="pl-PL"/>
        </a:p>
      </c:txPr>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BECC-AE8F-4F56-9E86-95549A7E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16868</Words>
  <Characters>101211</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Polak Artur</dc:creator>
  <cp:lastModifiedBy>Ewa A. Genert</cp:lastModifiedBy>
  <cp:revision>2</cp:revision>
  <cp:lastPrinted>2015-04-27T11:19:00Z</cp:lastPrinted>
  <dcterms:created xsi:type="dcterms:W3CDTF">2015-07-01T08:00:00Z</dcterms:created>
  <dcterms:modified xsi:type="dcterms:W3CDTF">2015-07-01T08:00:00Z</dcterms:modified>
</cp:coreProperties>
</file>