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385" w:rsidRDefault="00DC7385" w:rsidP="00DC7385">
      <w:pPr>
        <w:spacing w:line="360" w:lineRule="auto"/>
        <w:jc w:val="right"/>
      </w:pPr>
    </w:p>
    <w:p w:rsidR="00DC7385" w:rsidRDefault="00DC7385" w:rsidP="00DC7385">
      <w:pPr>
        <w:spacing w:line="360" w:lineRule="auto"/>
        <w:jc w:val="right"/>
      </w:pPr>
    </w:p>
    <w:p w:rsidR="00DC7385" w:rsidRDefault="00DC7385" w:rsidP="00DC7385">
      <w:pPr>
        <w:spacing w:line="360" w:lineRule="auto"/>
        <w:jc w:val="right"/>
      </w:pPr>
    </w:p>
    <w:p w:rsidR="00DC7385" w:rsidRDefault="00DC7385" w:rsidP="00DC7385">
      <w:pPr>
        <w:spacing w:line="360" w:lineRule="auto"/>
        <w:jc w:val="right"/>
      </w:pPr>
    </w:p>
    <w:p w:rsidR="00DC7385" w:rsidRDefault="00DC7385" w:rsidP="00DC7385">
      <w:pPr>
        <w:spacing w:line="360" w:lineRule="auto"/>
        <w:jc w:val="right"/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lang w:val="de-DE"/>
        </w:rPr>
      </w:pPr>
      <w:bookmarkStart w:id="0" w:name="_GoBack"/>
      <w:bookmarkEnd w:id="0"/>
      <w:r w:rsidRPr="002C64A3">
        <w:rPr>
          <w:b/>
          <w:lang w:val="de-DE"/>
        </w:rPr>
        <w:t xml:space="preserve">AUTOPOPRAWKA 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lang w:val="de-DE"/>
        </w:rPr>
      </w:pPr>
      <w:r w:rsidRPr="002C64A3">
        <w:rPr>
          <w:b/>
          <w:lang w:val="de-DE"/>
        </w:rPr>
        <w:t xml:space="preserve">do </w:t>
      </w:r>
      <w:proofErr w:type="spellStart"/>
      <w:r w:rsidRPr="002C64A3">
        <w:rPr>
          <w:b/>
          <w:lang w:val="de-DE"/>
        </w:rPr>
        <w:t>poselskiego</w:t>
      </w:r>
      <w:proofErr w:type="spellEnd"/>
      <w:r w:rsidRPr="002C64A3">
        <w:rPr>
          <w:b/>
          <w:lang w:val="de-DE"/>
        </w:rPr>
        <w:t xml:space="preserve"> </w:t>
      </w:r>
      <w:proofErr w:type="spellStart"/>
      <w:r w:rsidRPr="002C64A3">
        <w:rPr>
          <w:b/>
          <w:lang w:val="de-DE"/>
        </w:rPr>
        <w:t>projektu</w:t>
      </w:r>
      <w:proofErr w:type="spellEnd"/>
      <w:r w:rsidRPr="002C64A3">
        <w:rPr>
          <w:b/>
          <w:lang w:val="de-DE"/>
        </w:rPr>
        <w:t xml:space="preserve"> </w:t>
      </w:r>
      <w:proofErr w:type="spellStart"/>
      <w:r w:rsidRPr="002C64A3">
        <w:rPr>
          <w:b/>
          <w:lang w:val="de-DE"/>
        </w:rPr>
        <w:t>ustawy</w:t>
      </w:r>
      <w:proofErr w:type="spellEnd"/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lang w:val="de-DE"/>
        </w:rPr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lang w:val="de-DE"/>
        </w:rPr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  <w:r w:rsidRPr="002C64A3">
        <w:rPr>
          <w:b/>
          <w:bCs/>
        </w:rPr>
        <w:t>USTAWA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  <w:r w:rsidRPr="002C64A3">
        <w:rPr>
          <w:b/>
          <w:bCs/>
        </w:rPr>
        <w:t>z dnia ___________ 2012 r.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</w:pPr>
      <w:r w:rsidRPr="002C64A3">
        <w:rPr>
          <w:b/>
          <w:bCs/>
        </w:rPr>
        <w:t xml:space="preserve">o zmianie ustawy o bezpieczeństwie żywności i żywienia 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jc w:val="center"/>
        <w:rPr>
          <w:b/>
          <w:bCs/>
        </w:rPr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spacing w:before="60" w:after="60" w:line="360" w:lineRule="auto"/>
        <w:jc w:val="both"/>
      </w:pPr>
      <w:r w:rsidRPr="002C64A3">
        <w:rPr>
          <w:b/>
        </w:rPr>
        <w:t>Art. 1.</w:t>
      </w:r>
      <w:r w:rsidRPr="002C64A3">
        <w:t xml:space="preserve"> W ustawie z dnia 25 sierpnia 2006 r. o bezpieczeństwie żywności i żywienia (tj.  Dz. U. z 2010 r. Nr 136, poz. 914 z </w:t>
      </w:r>
      <w:proofErr w:type="spellStart"/>
      <w:r w:rsidRPr="002C64A3">
        <w:t>późn</w:t>
      </w:r>
      <w:proofErr w:type="spellEnd"/>
      <w:r w:rsidRPr="002C64A3">
        <w:t xml:space="preserve">. </w:t>
      </w:r>
      <w:proofErr w:type="spellStart"/>
      <w:r w:rsidRPr="002C64A3">
        <w:t>zm</w:t>
      </w:r>
      <w:proofErr w:type="spellEnd"/>
      <w:r w:rsidRPr="002C64A3">
        <w:rPr>
          <w:rStyle w:val="Odwoanieprzypisudolnego"/>
        </w:rPr>
        <w:footnoteReference w:id="1"/>
      </w:r>
      <w:r w:rsidRPr="002C64A3">
        <w:t>.) wprowadza się następujące zmiany: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2127" w:hanging="567"/>
        <w:jc w:val="both"/>
        <w:rPr>
          <w:color w:val="000000"/>
        </w:rPr>
      </w:pPr>
      <w:r w:rsidRPr="002C64A3">
        <w:t xml:space="preserve">  </w:t>
      </w:r>
    </w:p>
    <w:p w:rsidR="003615A6" w:rsidRPr="002C64A3" w:rsidRDefault="003615A6" w:rsidP="003615A6">
      <w:pPr>
        <w:pStyle w:val="Nagwek"/>
        <w:numPr>
          <w:ilvl w:val="0"/>
          <w:numId w:val="3"/>
        </w:numPr>
        <w:tabs>
          <w:tab w:val="clear" w:pos="4536"/>
          <w:tab w:val="clear" w:pos="9072"/>
        </w:tabs>
        <w:spacing w:before="60" w:after="60" w:line="360" w:lineRule="auto"/>
        <w:ind w:left="1276" w:hanging="425"/>
        <w:jc w:val="both"/>
        <w:rPr>
          <w:b/>
        </w:rPr>
      </w:pPr>
      <w:r w:rsidRPr="002C64A3">
        <w:rPr>
          <w:b/>
        </w:rPr>
        <w:t xml:space="preserve">po rozdziale 12 dodaje się nowy dział </w:t>
      </w:r>
      <w:proofErr w:type="spellStart"/>
      <w:r w:rsidRPr="002C64A3">
        <w:rPr>
          <w:b/>
        </w:rPr>
        <w:t>IIa</w:t>
      </w:r>
      <w:proofErr w:type="spellEnd"/>
      <w:r w:rsidRPr="002C64A3">
        <w:rPr>
          <w:b/>
        </w:rPr>
        <w:t xml:space="preserve"> w następującym brzmieniu: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1276"/>
        <w:jc w:val="both"/>
      </w:pP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720"/>
        <w:jc w:val="center"/>
        <w:rPr>
          <w:b/>
        </w:rPr>
      </w:pPr>
      <w:r w:rsidRPr="002C64A3">
        <w:t>„DZIAŁ IIA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</w:tabs>
        <w:spacing w:before="60" w:after="60" w:line="360" w:lineRule="auto"/>
        <w:ind w:left="720"/>
        <w:jc w:val="center"/>
        <w:rPr>
          <w:b/>
        </w:rPr>
      </w:pPr>
      <w:r w:rsidRPr="002C64A3">
        <w:rPr>
          <w:b/>
        </w:rPr>
        <w:t>Żywność w szkołach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9E1EC2">
        <w:rPr>
          <w:b/>
        </w:rPr>
        <w:t>Art. 52c.</w:t>
      </w:r>
      <w:r w:rsidRPr="002C64A3">
        <w:t xml:space="preserve"> 1. Na terenach przedszkoli, szkół podstawowych, szkół gimnazjalnych oraz innych zakładów i placówek oświatowo-wychowawczych oraz opiekuńczo-wychowawczych zakazuje się sprzedaży lub podawania następujących środków spożywczych: 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słodycze oraz wyroby cukiernicze i ciastkarskie o zawartości cukru przekraczającej 10g cukrów dodanych</w:t>
      </w:r>
      <w:r w:rsidRPr="002C64A3">
        <w:rPr>
          <w:rStyle w:val="Odwoanieprzypisudolnego"/>
        </w:rPr>
        <w:footnoteReference w:id="2"/>
      </w:r>
      <w:r w:rsidRPr="002C64A3">
        <w:t xml:space="preserve"> na 100g produktu;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 xml:space="preserve">środki spożywcze szybkiego przygotowania typu </w:t>
      </w:r>
      <w:r w:rsidRPr="002C64A3">
        <w:rPr>
          <w:i/>
        </w:rPr>
        <w:t xml:space="preserve">fast food </w:t>
      </w:r>
      <w:r w:rsidRPr="002C64A3">
        <w:t>i typu</w:t>
      </w:r>
      <w:r w:rsidRPr="002C64A3">
        <w:rPr>
          <w:i/>
        </w:rPr>
        <w:t xml:space="preserve"> instant </w:t>
      </w:r>
      <w:r w:rsidRPr="002C64A3">
        <w:t xml:space="preserve"> serwowane na poczekaniu  o zawartości sodu przekraczającej 300 mg Na w 100 g produktu;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przekąski z dodatkiem soli o zawartości sodu przekraczającej 300 mg Na w 100 g produktu;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produkty mleczne o zawartości cukrów dodanych</w:t>
      </w:r>
      <w:r w:rsidRPr="002C64A3">
        <w:rPr>
          <w:rStyle w:val="Odwoanieprzypisudolnego"/>
        </w:rPr>
        <w:footnoteReference w:id="3"/>
      </w:r>
      <w:r w:rsidRPr="002C64A3">
        <w:t xml:space="preserve"> powyżej 15g w 100 g/ml produktu;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lastRenderedPageBreak/>
        <w:t>produkty zbożowe o zawartości cukrów dodanych powyżej 25g w 100g produktu;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dżemy, marmolady</w:t>
      </w:r>
      <w:r>
        <w:t>, syropy</w:t>
      </w:r>
      <w:r w:rsidRPr="002C64A3">
        <w:t xml:space="preserve"> </w:t>
      </w:r>
      <w:proofErr w:type="spellStart"/>
      <w:r w:rsidRPr="002C64A3">
        <w:t>wysokosłodzone</w:t>
      </w:r>
      <w:proofErr w:type="spellEnd"/>
      <w:r w:rsidRPr="002C64A3">
        <w:t xml:space="preserve"> o zawartości cukrów dodanych powyżej 50g na 100g produktu;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napoje gazowane i niegazowane z dodatkiem cukrów</w:t>
      </w:r>
      <w:r w:rsidRPr="002C64A3">
        <w:rPr>
          <w:rStyle w:val="Odwoanieprzypisudolnego"/>
        </w:rPr>
        <w:footnoteReference w:id="4"/>
      </w:r>
      <w:r w:rsidRPr="002C64A3">
        <w:t xml:space="preserve"> i syntetycznych barwników;</w:t>
      </w:r>
    </w:p>
    <w:p w:rsidR="003615A6" w:rsidRPr="002C64A3" w:rsidRDefault="003615A6" w:rsidP="003615A6">
      <w:pPr>
        <w:pStyle w:val="Nagwek"/>
        <w:numPr>
          <w:ilvl w:val="0"/>
          <w:numId w:val="7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napoje energetyzujące i izotoniczne;</w:t>
      </w:r>
    </w:p>
    <w:p w:rsidR="003615A6" w:rsidRPr="002C64A3" w:rsidRDefault="003615A6" w:rsidP="003615A6">
      <w:pPr>
        <w:pStyle w:val="Nagwek"/>
        <w:tabs>
          <w:tab w:val="clear" w:pos="4536"/>
          <w:tab w:val="clear" w:pos="9072"/>
          <w:tab w:val="left" w:pos="1985"/>
        </w:tabs>
        <w:spacing w:before="60" w:after="60" w:line="360" w:lineRule="auto"/>
        <w:ind w:left="720"/>
        <w:jc w:val="both"/>
      </w:pPr>
    </w:p>
    <w:p w:rsidR="003615A6" w:rsidRPr="002C64A3" w:rsidRDefault="003615A6" w:rsidP="003615A6">
      <w:pPr>
        <w:pStyle w:val="Tekstpodstawowy"/>
        <w:spacing w:before="60" w:after="60" w:line="360" w:lineRule="auto"/>
        <w:rPr>
          <w:lang w:val="pl-PL"/>
        </w:rPr>
      </w:pPr>
      <w:r w:rsidRPr="002C64A3">
        <w:t>2.</w:t>
      </w:r>
      <w:r w:rsidRPr="002C64A3">
        <w:rPr>
          <w:lang w:val="pl-PL"/>
        </w:rPr>
        <w:t xml:space="preserve"> </w:t>
      </w:r>
      <w:r w:rsidRPr="002C64A3">
        <w:t>Na teren</w:t>
      </w:r>
      <w:r w:rsidRPr="002C64A3">
        <w:rPr>
          <w:lang w:val="pl-PL"/>
        </w:rPr>
        <w:t>ie</w:t>
      </w:r>
      <w:r w:rsidRPr="002C64A3">
        <w:t xml:space="preserve"> przedszkoli, szkół podstawowych, szkół gimnazjalnych oraz innych zakładów i placówek oświatowo-wychowawczych oraz opiekuńczo-wychowawczych </w:t>
      </w:r>
      <w:r w:rsidRPr="002C64A3">
        <w:rPr>
          <w:lang w:val="pl-PL"/>
        </w:rPr>
        <w:t>zabrania się reklamy</w:t>
      </w:r>
      <w:r>
        <w:rPr>
          <w:lang w:val="pl-PL"/>
        </w:rPr>
        <w:t>, prezentacji</w:t>
      </w:r>
      <w:r w:rsidRPr="002C64A3">
        <w:rPr>
          <w:lang w:val="pl-PL"/>
        </w:rPr>
        <w:t xml:space="preserve"> oraz działalności promocyjnej zachęcającej do nabycia środków spożywczych, o których mowa w ust. 1 lit. a – h.</w:t>
      </w:r>
    </w:p>
    <w:p w:rsidR="003615A6" w:rsidRPr="002C64A3" w:rsidRDefault="003615A6" w:rsidP="003615A6">
      <w:pPr>
        <w:pStyle w:val="Tekstpodstawowy"/>
        <w:spacing w:before="60" w:after="60" w:line="360" w:lineRule="auto"/>
        <w:rPr>
          <w:lang w:val="pl-PL"/>
        </w:rPr>
      </w:pPr>
      <w:r w:rsidRPr="002C64A3">
        <w:rPr>
          <w:lang w:val="pl-PL"/>
        </w:rPr>
        <w:t xml:space="preserve">3. </w:t>
      </w:r>
      <w:r w:rsidRPr="002C64A3">
        <w:t xml:space="preserve">Dyrektor przedszkola, </w:t>
      </w:r>
      <w:r w:rsidRPr="002C64A3">
        <w:rPr>
          <w:lang w:val="pl-PL"/>
        </w:rPr>
        <w:t>szkoły</w:t>
      </w:r>
      <w:r w:rsidRPr="002C64A3">
        <w:t xml:space="preserve"> podstawow</w:t>
      </w:r>
      <w:r w:rsidRPr="002C64A3">
        <w:rPr>
          <w:lang w:val="pl-PL"/>
        </w:rPr>
        <w:t>ej</w:t>
      </w:r>
      <w:r w:rsidRPr="002C64A3">
        <w:t xml:space="preserve">, </w:t>
      </w:r>
      <w:r w:rsidRPr="002C64A3">
        <w:rPr>
          <w:lang w:val="pl-PL"/>
        </w:rPr>
        <w:t>szkoły</w:t>
      </w:r>
      <w:r w:rsidRPr="002C64A3">
        <w:t xml:space="preserve"> gimnazjaln</w:t>
      </w:r>
      <w:r w:rsidRPr="002C64A3">
        <w:rPr>
          <w:lang w:val="pl-PL"/>
        </w:rPr>
        <w:t>ej</w:t>
      </w:r>
      <w:r w:rsidRPr="002C64A3">
        <w:t xml:space="preserve"> oraz innych zakładów i placówek oświatowo-wychowawczych oraz opiekuńczo-wychowawczych, w przypadku stwierdzenia naruszenia zakazu, o którym mowa w ust. 1, </w:t>
      </w:r>
      <w:r w:rsidRPr="002C64A3">
        <w:rPr>
          <w:lang w:val="pl-PL"/>
        </w:rPr>
        <w:t>jest</w:t>
      </w:r>
      <w:r w:rsidRPr="002C64A3">
        <w:t xml:space="preserve"> uprawni</w:t>
      </w:r>
      <w:r w:rsidRPr="002C64A3">
        <w:rPr>
          <w:lang w:val="pl-PL"/>
        </w:rPr>
        <w:t>ony</w:t>
      </w:r>
      <w:r w:rsidRPr="002C64A3">
        <w:t xml:space="preserve"> do rozwiązania, bez zachowania terminów wypowiedzenia, umów łączących przedszkole, szkołę podstawową, szkołę gimnazjalną lub inny zakład bądź placówkę oświatowo-wychowawczą lub opiekuńczo-wychowawczą z podmiotem naruszającym zakaz z winy tego podmiotu, bez odszkodowania.</w:t>
      </w:r>
    </w:p>
    <w:p w:rsidR="003615A6" w:rsidRPr="002C64A3" w:rsidRDefault="003615A6" w:rsidP="003615A6">
      <w:pPr>
        <w:pStyle w:val="Tekstpodstawowy"/>
        <w:spacing w:before="60" w:after="60" w:line="360" w:lineRule="auto"/>
        <w:rPr>
          <w:lang w:val="pl-PL"/>
        </w:rPr>
      </w:pPr>
    </w:p>
    <w:p w:rsidR="003615A6" w:rsidRPr="002C64A3" w:rsidRDefault="003615A6" w:rsidP="003615A6">
      <w:pPr>
        <w:pStyle w:val="Tekstpodstawowy"/>
        <w:tabs>
          <w:tab w:val="left" w:pos="1134"/>
          <w:tab w:val="left" w:pos="1276"/>
          <w:tab w:val="left" w:pos="1843"/>
          <w:tab w:val="left" w:pos="1985"/>
        </w:tabs>
        <w:spacing w:before="60" w:after="60" w:line="360" w:lineRule="auto"/>
      </w:pPr>
      <w:r w:rsidRPr="009E1EC2">
        <w:rPr>
          <w:b/>
        </w:rPr>
        <w:t xml:space="preserve">Art. </w:t>
      </w:r>
      <w:r w:rsidRPr="009E1EC2">
        <w:rPr>
          <w:b/>
          <w:lang w:val="pl-PL"/>
        </w:rPr>
        <w:t>52d</w:t>
      </w:r>
      <w:r w:rsidRPr="009E1EC2">
        <w:rPr>
          <w:b/>
        </w:rPr>
        <w:t>.</w:t>
      </w:r>
      <w:r w:rsidRPr="002C64A3">
        <w:t xml:space="preserve">  Minister właściwy do spraw zdrowia przedstawia Sejmowi raz na dwa lata, w terminie do dnia 31 marca roku następującego po dwuletnim okresie, szczegółowe sprawozdanie z realizacji przepisów </w:t>
      </w:r>
      <w:r w:rsidRPr="002C64A3">
        <w:rPr>
          <w:lang w:val="pl-PL"/>
        </w:rPr>
        <w:t xml:space="preserve">Działu </w:t>
      </w:r>
      <w:proofErr w:type="spellStart"/>
      <w:r w:rsidRPr="002C64A3">
        <w:rPr>
          <w:lang w:val="pl-PL"/>
        </w:rPr>
        <w:t>IIa</w:t>
      </w:r>
      <w:proofErr w:type="spellEnd"/>
      <w:r w:rsidRPr="002C64A3">
        <w:t xml:space="preserve"> ustawy, a w szczególności o liczbie stwierdzonych naruszeń ustawy.”</w:t>
      </w:r>
    </w:p>
    <w:p w:rsidR="003615A6" w:rsidRPr="002C64A3" w:rsidRDefault="003615A6" w:rsidP="003615A6">
      <w:pPr>
        <w:pStyle w:val="Tekstpodstawowy"/>
        <w:spacing w:before="60" w:after="60" w:line="360" w:lineRule="auto"/>
        <w:ind w:left="720"/>
      </w:pPr>
    </w:p>
    <w:p w:rsidR="003615A6" w:rsidRPr="002C64A3" w:rsidRDefault="003615A6" w:rsidP="003615A6">
      <w:pPr>
        <w:numPr>
          <w:ilvl w:val="0"/>
          <w:numId w:val="3"/>
        </w:numPr>
        <w:tabs>
          <w:tab w:val="left" w:pos="1276"/>
        </w:tabs>
        <w:spacing w:before="60" w:after="60" w:line="360" w:lineRule="auto"/>
        <w:ind w:left="1276" w:hanging="425"/>
        <w:jc w:val="both"/>
        <w:rPr>
          <w:b/>
        </w:rPr>
      </w:pPr>
      <w:r w:rsidRPr="002C64A3">
        <w:rPr>
          <w:b/>
        </w:rPr>
        <w:t>w art. 103 w ust. 1 dodaje się pkt 8 w brzmieniu:</w:t>
      </w:r>
    </w:p>
    <w:p w:rsidR="003615A6" w:rsidRPr="002C64A3" w:rsidRDefault="003615A6" w:rsidP="003615A6">
      <w:pPr>
        <w:tabs>
          <w:tab w:val="left" w:pos="1134"/>
        </w:tabs>
        <w:spacing w:before="60" w:after="60" w:line="360" w:lineRule="auto"/>
        <w:ind w:left="720"/>
        <w:jc w:val="both"/>
      </w:pPr>
      <w:r w:rsidRPr="002C64A3">
        <w:tab/>
      </w:r>
      <w:r w:rsidRPr="002C64A3">
        <w:tab/>
      </w:r>
      <w:r w:rsidRPr="002C64A3">
        <w:tab/>
        <w:t xml:space="preserve">„8. nie przestrzega zakazu określonego w art. 52c ust. 1;” </w:t>
      </w:r>
    </w:p>
    <w:p w:rsidR="003615A6" w:rsidRPr="002C64A3" w:rsidRDefault="003615A6" w:rsidP="003615A6">
      <w:pPr>
        <w:pStyle w:val="Tekstpodstawowy"/>
        <w:jc w:val="center"/>
        <w:rPr>
          <w:b/>
        </w:rPr>
      </w:pPr>
    </w:p>
    <w:p w:rsidR="003615A6" w:rsidRPr="002C64A3" w:rsidRDefault="003615A6" w:rsidP="003615A6">
      <w:pPr>
        <w:pStyle w:val="Tekstpodstawowy"/>
        <w:jc w:val="center"/>
        <w:rPr>
          <w:b/>
        </w:rPr>
      </w:pPr>
      <w:r w:rsidRPr="002C64A3">
        <w:rPr>
          <w:b/>
        </w:rPr>
        <w:t>Art. 2.</w:t>
      </w:r>
    </w:p>
    <w:p w:rsidR="003615A6" w:rsidRPr="002C64A3" w:rsidRDefault="003615A6" w:rsidP="003615A6">
      <w:pPr>
        <w:pStyle w:val="Tekstpodstawowy"/>
        <w:jc w:val="center"/>
        <w:rPr>
          <w:b/>
        </w:rPr>
      </w:pPr>
    </w:p>
    <w:p w:rsidR="003615A6" w:rsidRPr="002C64A3" w:rsidRDefault="003615A6" w:rsidP="003615A6">
      <w:pPr>
        <w:pStyle w:val="Tekstpodstawowy"/>
        <w:rPr>
          <w:lang w:val="pl-PL"/>
        </w:rPr>
      </w:pPr>
      <w:r w:rsidRPr="002C64A3">
        <w:t>Ustawa wchodzi w życie ogłoszenia</w:t>
      </w:r>
      <w:r w:rsidRPr="002C64A3">
        <w:rPr>
          <w:lang w:val="pl-PL"/>
        </w:rPr>
        <w:t xml:space="preserve"> dniem 1 stycznia 2014 r.</w:t>
      </w:r>
    </w:p>
    <w:p w:rsidR="003615A6" w:rsidRPr="002C64A3" w:rsidRDefault="003615A6" w:rsidP="003615A6">
      <w:pPr>
        <w:pStyle w:val="Tekstpodstawowy"/>
        <w:rPr>
          <w:lang w:val="pl-PL"/>
        </w:rPr>
      </w:pPr>
    </w:p>
    <w:p w:rsidR="003615A6" w:rsidRPr="002C64A3" w:rsidRDefault="003615A6" w:rsidP="003615A6"/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Default="003615A6" w:rsidP="003615A6">
      <w:pPr>
        <w:pStyle w:val="Tytu"/>
        <w:rPr>
          <w:b/>
          <w:bCs/>
          <w:sz w:val="24"/>
        </w:rPr>
      </w:pPr>
    </w:p>
    <w:p w:rsidR="003615A6" w:rsidRPr="002C64A3" w:rsidRDefault="003615A6" w:rsidP="003615A6">
      <w:pPr>
        <w:pStyle w:val="Tytu"/>
        <w:rPr>
          <w:b/>
          <w:bCs/>
          <w:sz w:val="24"/>
        </w:rPr>
      </w:pPr>
      <w:r w:rsidRPr="002C64A3">
        <w:rPr>
          <w:b/>
          <w:bCs/>
          <w:sz w:val="24"/>
        </w:rPr>
        <w:t>U Z A S A D N I E N I E</w:t>
      </w:r>
    </w:p>
    <w:p w:rsidR="003615A6" w:rsidRPr="002C64A3" w:rsidRDefault="003615A6" w:rsidP="003615A6">
      <w:pPr>
        <w:spacing w:line="360" w:lineRule="auto"/>
        <w:jc w:val="both"/>
      </w:pPr>
    </w:p>
    <w:p w:rsidR="003615A6" w:rsidRPr="002C64A3" w:rsidRDefault="003615A6" w:rsidP="003615A6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2C64A3">
        <w:rPr>
          <w:b/>
        </w:rPr>
        <w:t>Cel wydania ustawy.</w:t>
      </w:r>
    </w:p>
    <w:p w:rsidR="003615A6" w:rsidRPr="002C64A3" w:rsidRDefault="003615A6" w:rsidP="003615A6">
      <w:pPr>
        <w:spacing w:line="360" w:lineRule="auto"/>
        <w:ind w:left="720"/>
        <w:jc w:val="both"/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color w:val="000000"/>
        </w:rPr>
        <w:tab/>
        <w:t xml:space="preserve">Projekt niniejszej ustawy wprowadza zmiany w </w:t>
      </w:r>
      <w:r w:rsidRPr="002C64A3">
        <w:rPr>
          <w:rFonts w:eastAsia="Calibri"/>
        </w:rPr>
        <w:t xml:space="preserve">ustawie z dnia 25 sierpnia 2006 r. o bezpieczeństwie żywności i żywienia (tj. Dz. U. z 2010 r., Nr 136, poz. 914 z </w:t>
      </w:r>
      <w:proofErr w:type="spellStart"/>
      <w:r w:rsidRPr="002C64A3">
        <w:rPr>
          <w:rFonts w:eastAsia="Calibri"/>
        </w:rPr>
        <w:t>późn</w:t>
      </w:r>
      <w:proofErr w:type="spellEnd"/>
      <w:r w:rsidRPr="002C64A3">
        <w:rPr>
          <w:rFonts w:eastAsia="Calibri"/>
        </w:rPr>
        <w:t xml:space="preserve">. zm.). Planowana regulacja ma na celu ochronę zdrowia dzieci w wieku szkolnym poprzez ograniczenie dostępu na terenie placówek szkolnych i wychowawczych do produktów żywnościowych zawierających substancje, których nadmierne i wielokrotne spożycie przyczynia się do nieprawidłowego rozwoju i wielu chorób </w:t>
      </w:r>
      <w:proofErr w:type="spellStart"/>
      <w:r>
        <w:rPr>
          <w:rFonts w:eastAsia="Calibri"/>
        </w:rPr>
        <w:t>dieto</w:t>
      </w:r>
      <w:r w:rsidRPr="002C64A3">
        <w:rPr>
          <w:rFonts w:eastAsia="Calibri"/>
        </w:rPr>
        <w:t>zależnych</w:t>
      </w:r>
      <w:proofErr w:type="spellEnd"/>
      <w:r w:rsidRPr="002C64A3">
        <w:rPr>
          <w:rFonts w:eastAsia="Calibri"/>
        </w:rPr>
        <w:t xml:space="preserve"> wśród dzieci i młodzieży.  </w:t>
      </w:r>
      <w:r>
        <w:rPr>
          <w:rFonts w:eastAsia="Calibri"/>
        </w:rPr>
        <w:t>Badania pokazują, iż i</w:t>
      </w:r>
      <w:r w:rsidRPr="002C64A3">
        <w:rPr>
          <w:rFonts w:eastAsia="Calibri"/>
        </w:rPr>
        <w:t xml:space="preserve">stnieje ścisła zależność pomiędzy sposobem </w:t>
      </w:r>
      <w:r>
        <w:rPr>
          <w:rFonts w:eastAsia="Calibri"/>
        </w:rPr>
        <w:t>ożywia</w:t>
      </w:r>
      <w:r w:rsidRPr="002C64A3">
        <w:rPr>
          <w:rFonts w:eastAsia="Calibri"/>
        </w:rPr>
        <w:t>nia</w:t>
      </w:r>
      <w:r>
        <w:rPr>
          <w:rFonts w:eastAsia="Calibri"/>
        </w:rPr>
        <w:t xml:space="preserve"> się</w:t>
      </w:r>
      <w:r w:rsidRPr="002C64A3">
        <w:rPr>
          <w:rFonts w:eastAsia="Calibri"/>
        </w:rPr>
        <w:t xml:space="preserve">, a stanem zdrowia. Nadmierne spożycie tłuszczu, nasyconych kwasów tłuszczowych, izomerów trans nienasyconych kwasów tłuszczowych, sodu i cukrów (mono- i </w:t>
      </w:r>
      <w:proofErr w:type="spellStart"/>
      <w:r w:rsidRPr="002C64A3">
        <w:rPr>
          <w:rFonts w:eastAsia="Calibri"/>
        </w:rPr>
        <w:t>disacharydów</w:t>
      </w:r>
      <w:proofErr w:type="spellEnd"/>
      <w:r w:rsidRPr="002C64A3">
        <w:rPr>
          <w:rFonts w:eastAsia="Calibri"/>
        </w:rPr>
        <w:t>) jest łączone z niekorzystnym wpływem na zdrowie, wzrostem ryzyka rozwoju niezakaźnych chorób przewlekłych, takich jak: choroby serca, otyłość i cukrzyca. Do osób najbardziej narażonych na skutki nieprawidłowego żywienia należą dzieci i młodzież.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rPr>
          <w:rFonts w:eastAsia="Calibri"/>
        </w:rPr>
        <w:tab/>
        <w:t xml:space="preserve">Według danych Światowej Organizacji Zdrowia aż 29 proc. polskich 11-latków ma nadwagę. Spośród przebadanych 39 krajów Polska znalazła się dopiero na miejscu siódmym od końca. Jak pokazują badania przeprowadzone zarówno w Polsce,  jak i w innych krajach europejskich, wskaźnik nadwagi i otyłości społeczeństwa, szczególnie w grupie dzieci i młodzieży w wieku szkolnym  rośnie w zastraszającym tempie. Zjawisko to jest związane przede wszystkich z nieprawidłowymi nawykami żywieniowymi, jak również z coraz mniejszą aktywnością fizyczną. </w:t>
      </w:r>
      <w:r w:rsidRPr="002C64A3">
        <w:rPr>
          <w:bCs/>
        </w:rPr>
        <w:t>Niedoborowe lub źle zbilansowane żywienie w okresie dojrzewania może spowodować nieodwracalne zahamowania tempa rozwoju dziecka</w:t>
      </w:r>
      <w:r w:rsidRPr="002C64A3">
        <w:rPr>
          <w:rStyle w:val="Odwoanieprzypisudolnego"/>
          <w:bCs/>
        </w:rPr>
        <w:footnoteReference w:id="5"/>
      </w:r>
      <w:r w:rsidRPr="002C64A3">
        <w:rPr>
          <w:bCs/>
        </w:rPr>
        <w:t xml:space="preserve">.  Sposób żywienia dzieci i młodzieży powinien być więc zgodny z ich aktualnym stadium rozwojowym i fizjologicznym. W wieku dojrzewania ma miejsce szczególnie szybki wzrost i rozwój organizmu, czego wyrazem jest między innymi skok wzrostowy. Zapotrzebowanie na energię i </w:t>
      </w:r>
      <w:r w:rsidRPr="002C64A3">
        <w:rPr>
          <w:bCs/>
        </w:rPr>
        <w:lastRenderedPageBreak/>
        <w:t>składniki pokarmowe w tym okresie są wyższe aniżeli w jakimkolwiek innym okresie życia (podwojenie wagi ciała, przyrost długości ciała o ok. 7cm. ). Zaspokojenie potrzeb żywieniowych młodzieży w tym wieku warunkuje zarówno prawidłowy przebieg dynamicznych procesów rozwojowych, jak również sprzyja zapewnieniu dobrego zdrowia w przyszłości, z większym prawdopodobieństwem chroniąc przed rozwojem chorób cywilizacyjnych  tj. np. miażdżyca, nadciśnienie tętnicze czy osteoporoza</w:t>
      </w:r>
      <w:r w:rsidRPr="002C64A3">
        <w:rPr>
          <w:rStyle w:val="Odwoanieprzypisudolnego"/>
          <w:bCs/>
        </w:rPr>
        <w:footnoteReference w:id="6"/>
      </w:r>
      <w:r>
        <w:rPr>
          <w:bCs/>
        </w:rPr>
        <w:t>.</w:t>
      </w:r>
      <w:r w:rsidRPr="002C64A3">
        <w:rPr>
          <w:bCs/>
        </w:rPr>
        <w:t xml:space="preserve"> </w:t>
      </w:r>
      <w:r>
        <w:rPr>
          <w:bCs/>
        </w:rPr>
        <w:t xml:space="preserve"> </w:t>
      </w:r>
      <w:r w:rsidRPr="002C64A3">
        <w:rPr>
          <w:rFonts w:eastAsia="Calibri"/>
        </w:rPr>
        <w:t xml:space="preserve"> </w:t>
      </w:r>
      <w:r w:rsidRPr="002C64A3">
        <w:t xml:space="preserve">Wychodząc naprzeciw tym potrzebom Światowa Organizacja Zdrowia </w:t>
      </w:r>
      <w:r w:rsidRPr="002C64A3">
        <w:rPr>
          <w:rFonts w:eastAsia="Calibri"/>
        </w:rPr>
        <w:t>oraz Komisja Europejska, a także rządy wielu państw europejskich apelują do producentów żywności o ograniczenie w produkowanych wyrobach składników szkodliwych takich jak: tłuszcz, kwasy tłuszczowe nasycone, izomery kwasów tłuszczowych, nadmiar cukru czy sód oraz prowadzenie w sposób odpowiedzialny marketingu tych produktów</w:t>
      </w:r>
      <w:r>
        <w:rPr>
          <w:rFonts w:eastAsia="Calibri"/>
        </w:rPr>
        <w:t xml:space="preserve"> - poprzez  ograniczanie reklam</w:t>
      </w:r>
      <w:r w:rsidRPr="002C64A3">
        <w:rPr>
          <w:rFonts w:eastAsia="Calibri"/>
        </w:rPr>
        <w:t xml:space="preserve">, </w:t>
      </w:r>
      <w:r>
        <w:rPr>
          <w:rFonts w:eastAsia="Calibri"/>
        </w:rPr>
        <w:t>-</w:t>
      </w:r>
      <w:r w:rsidRPr="002C64A3">
        <w:rPr>
          <w:rFonts w:eastAsia="Calibri"/>
        </w:rPr>
        <w:t xml:space="preserve"> w szczególności w miejscach, w których różne formy reklamy wpływają w sposób największy na szczególne grupy konsumentów jakimi są dzieci i młodzież tj. m. in. w  przedszkolach, szkołach podstawowych, szkołach gimnazjalnych oraz innych placówkach oświatowych i opiekuńczych. </w:t>
      </w:r>
      <w:r w:rsidRPr="001D5C94">
        <w:rPr>
          <w:rFonts w:eastAsia="Calibri"/>
          <w:b/>
        </w:rPr>
        <w:t xml:space="preserve">Autorzy niniejszego projektu w pełni popierają powyższe postulaty, które zasługują na jak najszybsze uwzględnienie, jednakże wydają się one być – w ich opinii - niewystarczające.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tab/>
        <w:t xml:space="preserve"> Z powyżej wskazanych powodów</w:t>
      </w:r>
      <w:r>
        <w:rPr>
          <w:rFonts w:eastAsia="Calibri"/>
        </w:rPr>
        <w:t>,</w:t>
      </w:r>
      <w:r w:rsidRPr="002C64A3">
        <w:rPr>
          <w:rFonts w:eastAsia="Calibri"/>
        </w:rPr>
        <w:t xml:space="preserve"> w opinii projektodawców uzasadnione jest wdrożenie odpowiednich działań zapobiegawczych skutkujących zmianą zwyczajów żywieniowych wśród dzieci i młodzieży polegającą przede wszystkim na zwiększeniu spożycia warzyw i owoców, produktów zbożowych z pełnego przemiału, mleka i wartościowych produktów mlecznych, a także ryb, przy równoczesnym ograniczaniu spożycia tłuszczy, zwłaszcza pochodzenia zwierzęcego, cukru i słodyczy oraz soli kuchennej. Niewątpliwie równie ważną kwestią jest zwiększenie świadomości społeczeństwa w zakresie zasad zdrowego i odpowiedzialnego odżywiania się i stylu życia.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tab/>
        <w:t>Planowana regulacja ma doprowadzić do wyeliminowania sprzedaży i podawania pewnych kategorii produktów spożywczych i napojów zawierających</w:t>
      </w:r>
      <w:r>
        <w:rPr>
          <w:rFonts w:eastAsia="Calibri"/>
        </w:rPr>
        <w:t xml:space="preserve"> substancje wskazane w przepisach projektu</w:t>
      </w:r>
      <w:r w:rsidRPr="002C64A3">
        <w:rPr>
          <w:rFonts w:eastAsia="Calibri"/>
        </w:rPr>
        <w:t xml:space="preserve"> w ilości nadmiernej, niemającej uzasadnienia w wytycznych wynikających z norm</w:t>
      </w:r>
      <w:r>
        <w:rPr>
          <w:rFonts w:eastAsia="Calibri"/>
        </w:rPr>
        <w:t xml:space="preserve"> żywieniowych</w:t>
      </w:r>
      <w:r w:rsidRPr="002C64A3">
        <w:rPr>
          <w:rFonts w:eastAsia="Calibri"/>
        </w:rPr>
        <w:t xml:space="preserve">, na terenach przedszkoli, szkół podstawowych, gimnazjów oraz innych placówek oświatowo wychowawczych, a co za tym idzie do ograniczenia ich spożywania przez dzieci i młodzież.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lastRenderedPageBreak/>
        <w:tab/>
        <w:t>Zakaz sprzedaży i podawania w innych formach obejmuje następujące kategorie produktów: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słodycze oraz wyroby cukiernicze i ciastkarskie o zawartości cukru przekraczającej 10g cukrów dodanych na 100g produktu;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 xml:space="preserve">środki spożywcze szybkiego przygotowania typu </w:t>
      </w:r>
      <w:r w:rsidRPr="002C64A3">
        <w:rPr>
          <w:i/>
        </w:rPr>
        <w:t xml:space="preserve">fast food </w:t>
      </w:r>
      <w:r w:rsidRPr="002C64A3">
        <w:t>i typu</w:t>
      </w:r>
      <w:r w:rsidRPr="002C64A3">
        <w:rPr>
          <w:i/>
        </w:rPr>
        <w:t xml:space="preserve"> instant </w:t>
      </w:r>
      <w:r w:rsidRPr="002C64A3">
        <w:t xml:space="preserve"> serwowane na poczekaniu </w:t>
      </w:r>
      <w:r w:rsidRPr="002C64A3">
        <w:rPr>
          <w:i/>
        </w:rPr>
        <w:t>,</w:t>
      </w:r>
      <w:r w:rsidRPr="002C64A3">
        <w:t xml:space="preserve"> o zawartości sodu przekraczającej 300 mg Na w 100 g produktu;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przekąski z dodatkiem soli o zawartości sodu przekraczającej 300 mg w 100 g produktu;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produkty mleczne o zawartości cukrów dodanych powyżej 15g w 100 g/ml produktu;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produkty zbożowe o zawartości cukrów dodanych powyżej 25g w 100g produktu;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 xml:space="preserve">dżemy, marmolady </w:t>
      </w:r>
      <w:proofErr w:type="spellStart"/>
      <w:r w:rsidRPr="002C64A3">
        <w:t>wysokosłodzone</w:t>
      </w:r>
      <w:proofErr w:type="spellEnd"/>
      <w:r w:rsidRPr="002C64A3">
        <w:t xml:space="preserve"> o zawartości cukrów dodanych powyżej 50g na 100g produktu;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napoje gazowane i niegazowane z dodatkiem cukrów i syntetycznych barwników;</w:t>
      </w:r>
    </w:p>
    <w:p w:rsidR="003615A6" w:rsidRPr="002C64A3" w:rsidRDefault="003615A6" w:rsidP="003615A6">
      <w:pPr>
        <w:pStyle w:val="Nagwek"/>
        <w:numPr>
          <w:ilvl w:val="0"/>
          <w:numId w:val="4"/>
        </w:numPr>
        <w:tabs>
          <w:tab w:val="clear" w:pos="4536"/>
          <w:tab w:val="clear" w:pos="9072"/>
          <w:tab w:val="left" w:pos="1985"/>
        </w:tabs>
        <w:spacing w:before="60" w:after="60" w:line="360" w:lineRule="auto"/>
        <w:jc w:val="both"/>
      </w:pPr>
      <w:r w:rsidRPr="002C64A3">
        <w:t>napoje energetyzujące i izotoniczne;</w:t>
      </w:r>
    </w:p>
    <w:p w:rsidR="003615A6" w:rsidRPr="002C64A3" w:rsidRDefault="003615A6" w:rsidP="003615A6">
      <w:pPr>
        <w:suppressAutoHyphens/>
        <w:spacing w:before="60" w:after="60" w:line="360" w:lineRule="auto"/>
        <w:ind w:left="720"/>
        <w:jc w:val="both"/>
        <w:rPr>
          <w:rFonts w:eastAsia="Calibri"/>
          <w:color w:val="000000"/>
        </w:rPr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rPr>
          <w:rFonts w:eastAsia="Calibri"/>
          <w:color w:val="000000"/>
        </w:rPr>
        <w:t>Celem wyjaśnienia, autorzy projektu wskazują, iż w przepisach projektu ustawy pojęcie „</w:t>
      </w:r>
      <w:r w:rsidRPr="002C64A3">
        <w:rPr>
          <w:rFonts w:eastAsia="Calibri"/>
          <w:i/>
          <w:color w:val="000000"/>
        </w:rPr>
        <w:t>cukrów</w:t>
      </w:r>
      <w:r w:rsidRPr="002C64A3">
        <w:rPr>
          <w:rFonts w:eastAsia="Calibri"/>
          <w:color w:val="000000"/>
        </w:rPr>
        <w:t xml:space="preserve">” jest zgodne z definicją </w:t>
      </w:r>
      <w:r>
        <w:rPr>
          <w:rFonts w:eastAsia="Calibri"/>
          <w:color w:val="000000"/>
        </w:rPr>
        <w:t>„</w:t>
      </w:r>
      <w:r w:rsidRPr="002C64A3">
        <w:rPr>
          <w:rFonts w:eastAsia="Calibri"/>
          <w:i/>
          <w:color w:val="000000"/>
        </w:rPr>
        <w:t>cukrów</w:t>
      </w:r>
      <w:r>
        <w:rPr>
          <w:rFonts w:eastAsia="Calibri"/>
          <w:color w:val="000000"/>
        </w:rPr>
        <w:t xml:space="preserve">” </w:t>
      </w:r>
      <w:r w:rsidRPr="002C64A3">
        <w:rPr>
          <w:rFonts w:eastAsia="Calibri"/>
          <w:color w:val="000000"/>
        </w:rPr>
        <w:t>przyjętą w prawodawstwie Unii Europejskiej. Zgodnie z Rozporządzenie PE i Rady (WE) nr 1169/2011 z dnia 26 października 2011 r. pojęcie „</w:t>
      </w:r>
      <w:r w:rsidRPr="002C64A3">
        <w:rPr>
          <w:rFonts w:eastAsia="Calibri"/>
          <w:i/>
          <w:color w:val="000000"/>
        </w:rPr>
        <w:t>cukry</w:t>
      </w:r>
      <w:r w:rsidRPr="002C64A3">
        <w:rPr>
          <w:rFonts w:eastAsia="Calibri"/>
          <w:color w:val="000000"/>
        </w:rPr>
        <w:t xml:space="preserve">” zdefiniowano jako </w:t>
      </w:r>
      <w:r w:rsidRPr="001D5C94">
        <w:rPr>
          <w:rFonts w:eastAsia="Calibri"/>
          <w:b/>
          <w:color w:val="000000"/>
        </w:rPr>
        <w:t>wszelkie cukry proste i dwucukry obecne w żywności</w:t>
      </w:r>
      <w:r w:rsidRPr="002C64A3">
        <w:rPr>
          <w:rFonts w:eastAsia="Calibri"/>
          <w:color w:val="000000"/>
        </w:rPr>
        <w:t xml:space="preserve">.  </w:t>
      </w:r>
      <w:r w:rsidRPr="002C64A3">
        <w:t xml:space="preserve"> Z kolei w Załączniku do Rozporządzenia Parlamentu Europejskiego i Rady nr 1924/2006 z dnia 20 grudnia 2006 r. w sprawie oświadczeń żywieniowych i zdrowotnych dotyczących żywności, znajduje się definicja „</w:t>
      </w:r>
      <w:r w:rsidRPr="002C64A3">
        <w:rPr>
          <w:i/>
        </w:rPr>
        <w:t>bez dodatku cukrów</w:t>
      </w:r>
      <w:r w:rsidRPr="002C64A3">
        <w:t>” określająca produkty, które nie zawierają żadnych dodanych (cukrów prostych, dwucukrów , ani żadnych innych środków spożywczych zastosowanych ze względu na ich właściwości słodzące (do środka spożywczego nie zostały dodane cukry proste, dwucukry oraz inne substancje słodzące).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rPr>
          <w:b/>
        </w:rPr>
        <w:t>Uzasadnienie wyboru poszczególnych kategorii produktów jako zakazanych w sprzedaży na terenach szkół i innych placówek edukacyjnych:</w:t>
      </w:r>
    </w:p>
    <w:p w:rsidR="003615A6" w:rsidRPr="002C64A3" w:rsidRDefault="003615A6" w:rsidP="003615A6">
      <w:pPr>
        <w:numPr>
          <w:ilvl w:val="0"/>
          <w:numId w:val="8"/>
        </w:numPr>
        <w:suppressAutoHyphens/>
        <w:spacing w:before="60" w:after="60" w:line="360" w:lineRule="auto"/>
        <w:jc w:val="both"/>
      </w:pPr>
      <w:r>
        <w:rPr>
          <w:b/>
        </w:rPr>
        <w:t>CUKRY: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Cukry (mono- i </w:t>
      </w:r>
      <w:proofErr w:type="spellStart"/>
      <w:r w:rsidRPr="002C64A3">
        <w:t>disacharydy</w:t>
      </w:r>
      <w:proofErr w:type="spellEnd"/>
      <w:r w:rsidRPr="002C64A3">
        <w:t>) wchodzą w skład większej grupy związków – węglowodanów, w odniesieniu do których stosuje się różne kryteria podziału. Przyjmując kryterium budowy chemicznej wyróżniamy cukry proste (monosacharydy) i złożone</w:t>
      </w:r>
      <w:r>
        <w:t>,</w:t>
      </w:r>
      <w:r w:rsidRPr="002C64A3">
        <w:t xml:space="preserve"> które składają się dwóch lub </w:t>
      </w:r>
      <w:r w:rsidRPr="002C64A3">
        <w:lastRenderedPageBreak/>
        <w:t xml:space="preserve">większej liczby cząsteczek cukrów prostych. Do węglowodanów złożonych należą: </w:t>
      </w:r>
      <w:proofErr w:type="spellStart"/>
      <w:r w:rsidRPr="002C64A3">
        <w:t>disacharydy</w:t>
      </w:r>
      <w:proofErr w:type="spellEnd"/>
      <w:r w:rsidRPr="002C64A3">
        <w:t xml:space="preserve">, oligosacharydy oraz polisacharydy. Biorąc pod uwagę metabolizm węglowodanów w organizmie – dzieli się węglowodany na przyswajalne i nieprzyswajalne. Węglowodany przyswajalne mogą być trawione, wchłaniane i metabolizowane w organizmie człowieka. Enzymy trawienne przewodu pokarmowego metabolizują węglowodany złożone do dwucukrów, następnie cukrów prostych, które w tej formie są przyswajane. Zalicza się do nich: cukry proste, dwucukry, a z wielocukrów – skrobię i glikogen. Natomiast węglowodany nieprzyswajalne to składniki błonnika pokarmowego: celuloza, hemicelulozy i pektyny, które ze względu na brak odpowiednich enzymów w organizmie, nie mogą być wchłaniane, ale pomimo to wywierają istotny wpływ na zdrowie człowieka, pełniąc ważne funkcje fizjologiczne.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Węglowodany przyswajalne w organizmie człowieka pełnią różne funkcje: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•</w:t>
      </w:r>
      <w:r w:rsidRPr="002C64A3">
        <w:tab/>
        <w:t>są podstawowym i łatwo dostępnym źródłem energii dla każdej żywej komórki, służącej do pracy mózgu i mięśni, do utrzymywania ciepłoty ciała, do pracy narządów wewnętrznych oraz do wykonywania wysiłku fizycznego,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•</w:t>
      </w:r>
      <w:r w:rsidRPr="002C64A3">
        <w:tab/>
        <w:t xml:space="preserve">są regulatorem procesów metabolicznych zachodzących w organizmie: wpływają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na poziom glukozy w surowicy krwi i wytwarzanie insuliny, są substratami w procesach </w:t>
      </w:r>
      <w:proofErr w:type="spellStart"/>
      <w:r w:rsidRPr="002C64A3">
        <w:t>glikolizacji</w:t>
      </w:r>
      <w:proofErr w:type="spellEnd"/>
      <w:r w:rsidRPr="002C64A3">
        <w:t xml:space="preserve"> białka, uczestniczą w metabolizmie cholesterolu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i trójglicerydów oraz kwasów żółciowych,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•</w:t>
      </w:r>
      <w:r w:rsidRPr="002C64A3">
        <w:tab/>
        <w:t xml:space="preserve">stanowią materiał budulcowy dla wytwarzania elementów strukturalnych komórek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np. błon komórkowych i substancji biologicznie czynnych (rybozy, galaktozy, aminocukrów itd.),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•</w:t>
      </w:r>
      <w:r w:rsidRPr="002C64A3">
        <w:tab/>
        <w:t>biorą udział w przemianie wodnej i mineralnej organizmu.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  <w:t>Przyjmuje się, że do właściwego przebiegu procesów metabolicznych organizm potrzebuje ponad 100 g węglowodanów przyswajalnych na dobę. Przy przeciętnym niezbyt wysokim spożyciu podstawową drogą ich przemiany jest utlenianie związane z dostarczaniem energii. W żywieniu ludzi zdrowych z węglowodanów powinno pochodzić od 45</w:t>
      </w:r>
      <w:r>
        <w:t xml:space="preserve">% </w:t>
      </w:r>
      <w:r w:rsidRPr="002C64A3">
        <w:t xml:space="preserve">do 65% całkowitego dziennego zapotrzebowania na energię. </w:t>
      </w:r>
      <w:r w:rsidRPr="002C64A3">
        <w:rPr>
          <w:b/>
        </w:rPr>
        <w:t>Z punktu widzenia żywieniowego zalecane jest większe spożycie węglowodanów złożonych, a ograniczenie w diecie ilości jedno- i dwucukrów</w:t>
      </w:r>
      <w:r w:rsidRPr="002C64A3">
        <w:t xml:space="preserve">. </w:t>
      </w:r>
      <w:r w:rsidRPr="002C64A3">
        <w:rPr>
          <w:b/>
        </w:rPr>
        <w:t xml:space="preserve">Ilość zalecanego minimalnego spożycia węglowodanów dla dzieci, </w:t>
      </w:r>
      <w:r w:rsidRPr="002C64A3">
        <w:rPr>
          <w:b/>
        </w:rPr>
        <w:lastRenderedPageBreak/>
        <w:t>chłopców i dziewcząt oraz osób dorosłych niezależnie od wieku wynosi 130g/dobę</w:t>
      </w:r>
      <w:r w:rsidRPr="002C64A3">
        <w:t xml:space="preserve">, dla kobiet ciężarnych – 175g/dobę, a dla kobiet karmiących – 210g/dobę. </w:t>
      </w:r>
      <w:r w:rsidRPr="002C64A3">
        <w:rPr>
          <w:b/>
        </w:rPr>
        <w:t xml:space="preserve">Wyniki badań epidemiologicznych wskazują, że zarówno rodzaj, jak i ilość węglowodanów spożywanych wraz z dietą odgrywają znaczącą rolę w etiologii wielu chorób związanych z zaburzeniami przemiany materii, takimi jak: nadwaga i otyłość, cukrzyca, miażdżyca, choroby układu sercowo-naczyniowego, nowotwory i  szeregu  innych. Nadmierne spożycie węglowodanów jest związane głównie ze zbyt wysokim spożyciem cukrów dodanych – mono- i </w:t>
      </w:r>
      <w:proofErr w:type="spellStart"/>
      <w:r w:rsidRPr="002C64A3">
        <w:rPr>
          <w:b/>
        </w:rPr>
        <w:t>disacharydów</w:t>
      </w:r>
      <w:proofErr w:type="spellEnd"/>
      <w:r w:rsidRPr="002C64A3">
        <w:rPr>
          <w:b/>
        </w:rPr>
        <w:t xml:space="preserve"> – do żywności w procesie produkcji. Źródłem cukrów dodanych mogą być m. in.: sacharoza, glukoza, syropy </w:t>
      </w:r>
      <w:proofErr w:type="spellStart"/>
      <w:r w:rsidRPr="002C64A3">
        <w:rPr>
          <w:b/>
        </w:rPr>
        <w:t>fruktozowo</w:t>
      </w:r>
      <w:proofErr w:type="spellEnd"/>
      <w:r w:rsidRPr="002C64A3">
        <w:rPr>
          <w:b/>
        </w:rPr>
        <w:t>-glukozowe, syrop kukurydziany itp. Produkty wytwarzane z dodatkiem cukrów zazwyczaj charakteryzują się niższą zawartością innych składników odżywczych np. witamin i składników mineralnych, w porównaniu do żywności naturalnej zawierającej cukry proste, jak owoce, warzywa oraz mleko i jego przetwory</w:t>
      </w:r>
      <w:r w:rsidRPr="002C64A3">
        <w:t>. Wskazuje się</w:t>
      </w:r>
      <w:r>
        <w:t xml:space="preserve"> również</w:t>
      </w:r>
      <w:r w:rsidRPr="002C64A3">
        <w:t xml:space="preserve">, że spożycie 25% energii pochodzącej z cukrów dodanych, powoduje niskie spożycie niektórych składników odżywczych np.: kwasu foliowego, witaminy E, C, B6, wapnia, magnezu, żelaza czy cynku. Z drugiej strony zwraca się uwagę, że zbyt niskie spożycie mono- i </w:t>
      </w:r>
      <w:proofErr w:type="spellStart"/>
      <w:r w:rsidRPr="002C64A3">
        <w:t>disacharydów</w:t>
      </w:r>
      <w:proofErr w:type="spellEnd"/>
      <w:r w:rsidRPr="002C64A3">
        <w:t xml:space="preserve"> (poniżej 4% energii ogółem) zmniejsza spożycie cukrów naturalnie występujących w żywności, a tym samym obniża dostępność cennych składników odżywczych, których dostarczają produkty będące w diecie źródłem cukrów naturalnych.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  <w:t>Według zaleceń Światowej Organizacji Zdrowia</w:t>
      </w:r>
      <w:r>
        <w:t>,</w:t>
      </w:r>
      <w:r w:rsidRPr="002C64A3">
        <w:t xml:space="preserve"> ilość energii pochodząca z cukrów dodanych nie powinna przekraczać 10% dziennego zapotrzebowania energetycznego.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Oznacza to, że w diecie dostarczającej 2000 kcal, nie powinno być więcej niż 50 g cukrów dodanych. </w:t>
      </w:r>
      <w:r w:rsidRPr="002C64A3">
        <w:rPr>
          <w:b/>
        </w:rPr>
        <w:t>Prowadzone w ostatnich latach badania, szczególnie w Stanach Zjednoczonych, zwracają uwagę na występującą korelację pomiędzy wzrostem spożycia fruktozy – powszechnie stosowanej do słodzenia m.in. napojów bezalkoholowych, słodyczy – a wzrostem nadwagi i otyłości. Tłumaczy się to innym metabolizmem fruktozy niż glukozy w organizmie człowieka.</w:t>
      </w:r>
      <w:r w:rsidRPr="002C64A3">
        <w:t xml:space="preserve"> W wątrobie fruktoza w większej ilości, w porównaniu do glukozy, jest przekształcana do mleczanu i bardziej nasila wątrobową syntezę trójglicerydów, co może mieć wpływ na rozwój </w:t>
      </w:r>
      <w:proofErr w:type="spellStart"/>
      <w:r w:rsidRPr="002C64A3">
        <w:t>hipertrójglicerydemii</w:t>
      </w:r>
      <w:proofErr w:type="spellEnd"/>
      <w:r w:rsidRPr="002C64A3">
        <w:t xml:space="preserve">. Bezpośredni wpływ dużego spożycia fruktozy na rozwój </w:t>
      </w:r>
      <w:proofErr w:type="spellStart"/>
      <w:r w:rsidRPr="002C64A3">
        <w:t>insulinooporności</w:t>
      </w:r>
      <w:proofErr w:type="spellEnd"/>
      <w:r w:rsidRPr="002C64A3">
        <w:t xml:space="preserve">, </w:t>
      </w:r>
      <w:proofErr w:type="spellStart"/>
      <w:r w:rsidRPr="002C64A3">
        <w:t>hiperinsulinemii</w:t>
      </w:r>
      <w:proofErr w:type="spellEnd"/>
      <w:r w:rsidRPr="002C64A3">
        <w:t xml:space="preserve">, nietolerancji glukozy, </w:t>
      </w:r>
      <w:proofErr w:type="spellStart"/>
      <w:r w:rsidRPr="002C64A3">
        <w:t>hipertrójglicerydemii</w:t>
      </w:r>
      <w:proofErr w:type="spellEnd"/>
      <w:r w:rsidRPr="002C64A3">
        <w:t xml:space="preserve"> oraz nadciśnienie tętnicze wykazano w badaniach na zwierzętach. </w:t>
      </w:r>
      <w:r w:rsidRPr="002C64A3">
        <w:rPr>
          <w:b/>
        </w:rPr>
        <w:t xml:space="preserve">W badaniach amerykańskich wykazano, także wzrost nadwagi i otyłości powodowany wyższym spożyciem cukrów dodanych, których istotnym źródłem były bezalkoholowe napoje słodzone. Stwierdzono, </w:t>
      </w:r>
      <w:r w:rsidRPr="002C64A3">
        <w:rPr>
          <w:b/>
        </w:rPr>
        <w:lastRenderedPageBreak/>
        <w:t>że prawdopodobieństwo wystąpienia nadwagi jest o około 10-20% wyższe u osób, które spożywają dziennie co najmniej jedną porcję napoju z dodatkiem cukru, w porównaniu do osób, które spożywają mniej niż jedną porcję takiego napoju.</w:t>
      </w:r>
      <w:r w:rsidRPr="002C64A3">
        <w:t xml:space="preserve">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Wysokie spożycie sacharozy i glukozy może prowadzić również do zaburzeń gospodarki lipidowej, nadmiar węglowodanów, który nie może ulec natychmiastowemu spaleniu jest przekształcany w trójglicerydy, które gromadzą się w tkance tłuszczowej.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Nie można także zapominać o wpływie spożycia żywności obfitującej w mono- i </w:t>
      </w:r>
      <w:proofErr w:type="spellStart"/>
      <w:r w:rsidRPr="002C64A3">
        <w:t>disacharydy</w:t>
      </w:r>
      <w:proofErr w:type="spellEnd"/>
      <w:r w:rsidRPr="002C64A3">
        <w:t xml:space="preserve">, szczególnie produktów słodzonych, </w:t>
      </w:r>
      <w:r w:rsidRPr="002C64A3">
        <w:rPr>
          <w:b/>
        </w:rPr>
        <w:t>na rozwój próchnicy zębów</w:t>
      </w:r>
      <w:r w:rsidRPr="002C64A3">
        <w:t xml:space="preserve">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2C64A3">
        <w:t xml:space="preserve">Zlecone przez projektodawców analizy </w:t>
      </w:r>
      <w:r>
        <w:t xml:space="preserve">i badania </w:t>
      </w:r>
      <w:r w:rsidRPr="002C64A3">
        <w:t xml:space="preserve">wykazały, iż odnośnie cukrów (mono- i </w:t>
      </w:r>
      <w:proofErr w:type="spellStart"/>
      <w:r w:rsidRPr="002C64A3">
        <w:t>disacharydów</w:t>
      </w:r>
      <w:proofErr w:type="spellEnd"/>
      <w:r w:rsidRPr="002C64A3">
        <w:t>) to największą ich ilość ok. 100% zawierają miód pszczeli, cukier rafinowany. W owocach i warzywach występują naturalne jedno- i dwucukry, głownie glukoza i fruktoza, w mniejszych ilościach sacharoza (zawartość cukrów w owocach świeżych waha się od 7-24%</w:t>
      </w:r>
      <w:r>
        <w:t>)</w:t>
      </w:r>
      <w:r w:rsidRPr="002C64A3">
        <w:t xml:space="preserve">. W warzywach jest ich mniej od 0,2% do7,1%. Natomiast mleko i jego przetwory zawierają laktozę od 0,1% w serach podpuszczkowych dojrzewających do 51% w mleku w proszku. Mleko zawiera średnio około 5% laktozy, jogurty z uwagi na proces fermentacji mniejszą ilość ok. 3%. W innych produktach cukry naturalne występują w małych ilościach.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</w:r>
      <w:r>
        <w:t>Ponadto</w:t>
      </w:r>
      <w:r w:rsidRPr="002C64A3">
        <w:t xml:space="preserve"> badania wykazały, że w procesie produkcji żywności dość powszechnie stosowany jest dodatek składników słodzących – sacharozy, syropów </w:t>
      </w:r>
      <w:proofErr w:type="spellStart"/>
      <w:r w:rsidRPr="002C64A3">
        <w:t>fruktozowo</w:t>
      </w:r>
      <w:proofErr w:type="spellEnd"/>
      <w:r w:rsidRPr="002C64A3">
        <w:t xml:space="preserve">-glukozowych, syropu kukurydzianego. O ile w produktach niezłożonych np. kefir, jogurt naturalny, ser twarogowy, soki owocowe, owocowo-warzywne, warzywne, owoce i warzywa mrożone występują przede wszystkim naturalne cukry, </w:t>
      </w:r>
      <w:r w:rsidRPr="002C64A3">
        <w:rPr>
          <w:b/>
        </w:rPr>
        <w:t>to w żywności złożonej można zaobserwować znaczący dodatek cukrów</w:t>
      </w:r>
      <w:r w:rsidRPr="002C64A3">
        <w:t xml:space="preserve">. Coraz częściej nawet w produktach, kojarzących się z nieznaczną ilością cukrów prostych, na przykład płatki zbożowe (100 g płatków kukurydzianych zawiera 7 g sacharozy, a 100 g płatków kukurydzianych z cukrem już 37,6 g sacharozy). </w:t>
      </w:r>
      <w:r w:rsidRPr="002C64A3">
        <w:rPr>
          <w:b/>
        </w:rPr>
        <w:t>Innym przykładem mogą być przetwory mleczne adresowane do dzieci, gdzie z uwagi na zawartość cukrów czy tłuszczu, zaciera się różnica pomiędzy produktami, które mogą być spożywane na pierwsze lub drugie śniadanie</w:t>
      </w:r>
      <w:r>
        <w:rPr>
          <w:b/>
        </w:rPr>
        <w:t>,</w:t>
      </w:r>
      <w:r w:rsidRPr="002C64A3">
        <w:rPr>
          <w:b/>
        </w:rPr>
        <w:t xml:space="preserve"> a słodyczami</w:t>
      </w:r>
      <w:r w:rsidRPr="002C64A3">
        <w:t>. Na przykład 100 g serka homogenizowanego truskawkowego zawiera 17,2 g cukrów, napoju mlecznego ok. 11 g cukrów, twarożku waniliowego 12,8 g cukrów, a deseru mleczno-czekoladowo-orzechowego 14,1 g cukrów i aż 13,3 g tłuszczu.</w:t>
      </w:r>
      <w:r>
        <w:t xml:space="preserve"> </w:t>
      </w:r>
      <w:r w:rsidRPr="002C64A3">
        <w:t xml:space="preserve">Do produktów zawierających znaczne ilości mono- i </w:t>
      </w:r>
      <w:proofErr w:type="spellStart"/>
      <w:r w:rsidRPr="002C64A3">
        <w:t>disacharydów</w:t>
      </w:r>
      <w:proofErr w:type="spellEnd"/>
      <w:r w:rsidRPr="002C64A3">
        <w:t xml:space="preserve"> zalicza się </w:t>
      </w:r>
      <w:r>
        <w:t xml:space="preserve">również </w:t>
      </w:r>
      <w:r w:rsidRPr="002C64A3">
        <w:t xml:space="preserve">słodzone napoje bezalkoholowe, słodycze, dżemy, owoce w syropie itp. Słodzone napoje bezalkoholowe średnio zawierają około 10 g cukrów w 100 ml. Zawartość sacharozy w słodyczach z reguły jest wysoka i waha się w granicach: </w:t>
      </w:r>
      <w:r w:rsidRPr="002C64A3">
        <w:lastRenderedPageBreak/>
        <w:t xml:space="preserve">karmelki – 62,4-97,8 g/100g, czekolada i wyroby czekoladowe – 28,2-57,1 g/100g, herbatniki – 18,9-51,2 g/100 g, ciastka i ciasta – 3,3-51,0 g/100 g. Natomiast dżemy niskosłodzone zawierają ok. 38 g cukrów/100 g, zaś </w:t>
      </w:r>
      <w:proofErr w:type="spellStart"/>
      <w:r w:rsidRPr="002C64A3">
        <w:t>wysokosłodzone</w:t>
      </w:r>
      <w:proofErr w:type="spellEnd"/>
      <w:r w:rsidRPr="002C64A3">
        <w:t xml:space="preserve"> – ok. 63 g/100 g.</w:t>
      </w:r>
    </w:p>
    <w:p w:rsidR="003615A6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tab/>
        <w:t xml:space="preserve">Biorąc pod uwagę powyższe, projektodawcy proponują, aby </w:t>
      </w:r>
      <w:r w:rsidRPr="002C64A3">
        <w:rPr>
          <w:b/>
        </w:rPr>
        <w:t xml:space="preserve">świeże owoce i warzywa, suszone owoce i warzywa, nasiona, orzechy bez dodatku soli, tłuszczu i cukrów, soki owocowe, warzywne i owocowo-warzywne bez dodatku cukrów były dostępne w sklepikach bez ograniczeń </w:t>
      </w:r>
      <w:r w:rsidRPr="002C64A3">
        <w:t xml:space="preserve">z uwagi na fakt, że są one podstawowym źródłem w diecie wielu witamin, składników mineralnych oraz substancji bioaktywnych. Podobnie proponuje się aby </w:t>
      </w:r>
      <w:r w:rsidRPr="002C64A3">
        <w:rPr>
          <w:b/>
        </w:rPr>
        <w:t>mleko i produkty mleczne, z wyjątkiem serków i deserów o zawartości cukrów powyżej 15 g, były dostępne w sklepikach bez ograniczeń</w:t>
      </w:r>
      <w:r w:rsidRPr="002C64A3">
        <w:t xml:space="preserve">. Mleko i produkty mleczne są cennym źródłem m.in. białka zwierzęcego, wapnia czy witamin B2 i B12 – składników potrzebnych do prawidłowego rozwoju dzieci i młodzieży. Zaproponowane ograniczenie w zakresie cukrów dla wybranych przetworów mlecznych ma na celu zapobieżenie spożywania produktów, które mogą wnosić do diety istotne ilości cukrów prostych. Natomiast, z uwagi na </w:t>
      </w:r>
      <w:r w:rsidRPr="002C64A3">
        <w:rPr>
          <w:b/>
        </w:rPr>
        <w:t xml:space="preserve">potrzebę ograniczania spożycia cukrów prostych (mono- i </w:t>
      </w:r>
      <w:proofErr w:type="spellStart"/>
      <w:r w:rsidRPr="002C64A3">
        <w:rPr>
          <w:b/>
        </w:rPr>
        <w:t>disacharydów</w:t>
      </w:r>
      <w:proofErr w:type="spellEnd"/>
      <w:r w:rsidRPr="002C64A3">
        <w:rPr>
          <w:b/>
        </w:rPr>
        <w:t xml:space="preserve">), których spożywanie w nadmiernych ilościach wywołuje zwiększoną syntezę trójglicerydów, ich odkładanie się w wątrobie i tkance tłuszczowej, co prowadzi do </w:t>
      </w:r>
      <w:proofErr w:type="spellStart"/>
      <w:r w:rsidRPr="002C64A3">
        <w:rPr>
          <w:b/>
        </w:rPr>
        <w:t>hipertrójglicerydemii</w:t>
      </w:r>
      <w:proofErr w:type="spellEnd"/>
      <w:r w:rsidRPr="002C64A3">
        <w:rPr>
          <w:b/>
        </w:rPr>
        <w:t xml:space="preserve">, a także otyłości, która jest ważnym czynnikiem ryzyka wielu chorób </w:t>
      </w:r>
      <w:proofErr w:type="spellStart"/>
      <w:r w:rsidRPr="002C64A3">
        <w:rPr>
          <w:b/>
        </w:rPr>
        <w:t>dietozależnych</w:t>
      </w:r>
      <w:proofErr w:type="spellEnd"/>
      <w:r w:rsidRPr="002C64A3">
        <w:rPr>
          <w:b/>
        </w:rPr>
        <w:t xml:space="preserve">, proponuje się wyłączenie ze sprzedaży w sklepikach szkolnych napojów bezalkoholowych </w:t>
      </w:r>
      <w:r>
        <w:rPr>
          <w:b/>
        </w:rPr>
        <w:t xml:space="preserve">(gazowanych i niegazowanych) </w:t>
      </w:r>
      <w:r w:rsidRPr="002C64A3">
        <w:rPr>
          <w:b/>
        </w:rPr>
        <w:t>z dodatkiem cukrów oraz słodyczy.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b/>
        </w:rPr>
      </w:pPr>
    </w:p>
    <w:p w:rsidR="003615A6" w:rsidRPr="002C64A3" w:rsidRDefault="003615A6" w:rsidP="003615A6">
      <w:pPr>
        <w:numPr>
          <w:ilvl w:val="0"/>
          <w:numId w:val="8"/>
        </w:numPr>
        <w:suppressAutoHyphens/>
        <w:spacing w:before="60" w:after="60" w:line="360" w:lineRule="auto"/>
        <w:jc w:val="both"/>
        <w:rPr>
          <w:b/>
        </w:rPr>
      </w:pPr>
      <w:r w:rsidRPr="002C64A3">
        <w:rPr>
          <w:b/>
        </w:rPr>
        <w:t>SÓL/SÓD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Sól (chlorek sodu, </w:t>
      </w:r>
      <w:proofErr w:type="spellStart"/>
      <w:r w:rsidRPr="002C64A3">
        <w:t>NaCl</w:t>
      </w:r>
      <w:proofErr w:type="spellEnd"/>
      <w:r w:rsidRPr="002C64A3">
        <w:t xml:space="preserve">) jest głównym źródłem sodu i chloru w diecie – składników niezbędnych dla organizmu człowieka. Oba te składniki pełnią ważną rolę w prawidłowym funkcjonowaniu organizmu. Są m. in: głównymi składnikami płynu pozakomórkowego i odgrywają istotną role w utrzymaniu równowagi wodno-elektrolitowej oraz kwasowo-zasadowej w organizmie człowieka. Sód wpływa na zapewnienie właściwego ciśnienia krwi i równowagi osmotycznej w zewnątrzkomórkowych płynach ustrojowych. Wraz z potasem tworzy odpowiedni potencjał błony komórkowej, niezbędny do prawidłowego przewodzenia impulsów nerwowych i prawidłowej czynność komórek mięśniowych, w tym mięśnia sercowego. Bierze udział w aktywnym transporcie aminokwasów i cukrów do komórek organizmu. Sód i chlor biorą udział w procesach trawienia i wchłaniania innych związków np. aminokwasów, węglowodanów. Niedobory tych pierwiastków </w:t>
      </w:r>
      <w:r>
        <w:t xml:space="preserve">w organizmie </w:t>
      </w:r>
      <w:r w:rsidRPr="002C64A3">
        <w:t xml:space="preserve">zdarzają się </w:t>
      </w:r>
      <w:r w:rsidRPr="002C64A3">
        <w:lastRenderedPageBreak/>
        <w:t>bardzo rzadko.</w:t>
      </w:r>
      <w:r>
        <w:t xml:space="preserve"> </w:t>
      </w:r>
      <w:r w:rsidRPr="002C64A3">
        <w:rPr>
          <w:b/>
        </w:rPr>
        <w:t xml:space="preserve">Obecnie istotnym i najważniejszym problemem żywieniowym jest nadmiar spożywanego sodu. </w:t>
      </w:r>
      <w:r>
        <w:rPr>
          <w:b/>
        </w:rPr>
        <w:t xml:space="preserve"> </w:t>
      </w:r>
      <w:r w:rsidRPr="002C64A3">
        <w:rPr>
          <w:b/>
        </w:rPr>
        <w:t>Sód zawarty w pożywieniu pochodzi z trzech źródeł: jako naturalny składnik produktów roślinnych i zwierzęcych, jako składnik soli dodawanej do żywności podczas jej przemysłowego przetwarzania i z zawierających sód dozwolonych substancji dodatkowych, oraz z soli stosowanej do przygotowywania posiłków w domu i dosalania podczas ich spożywania</w:t>
      </w:r>
      <w:r w:rsidRPr="002C64A3">
        <w:t>. Z badań prowadzonych w wielu krajach europejskich wynika, że obecnie przeciętne spożycie soli kształtuje się na poziomie 8 - 11g dziennie na osobę</w:t>
      </w:r>
      <w:r w:rsidRPr="002C64A3">
        <w:rPr>
          <w:b/>
        </w:rPr>
        <w:t>. Również w Polsce, podobnie jak i w innych krajach europejskich, spożycie soli (i sodu) jest wysokie i znacznie (nawet 2-3 krotnie) przekracza ilości zalecane przez WHO.</w:t>
      </w:r>
      <w:r w:rsidRPr="002C64A3">
        <w:t xml:space="preserve"> Z badań budżetów gospodarstw domowych z 2009 r. wynika, że przeciętne spożycie soli z dietą w Polsce wynosiło 11,5 g/osobę/dzień, przy czym było ono wyższe w gospodarstwach wiejskich niż miejskich.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rPr>
          <w:b/>
        </w:rPr>
        <w:t xml:space="preserve">Wysoka zawartość soli w diecie, a co za tym idzie sodu, zwiększa ryzyko wystąpienia nadciśnienia tętniczego i związanych z tym powikłań, takich jak: udary mózgu, niewydolność krążenia czy zawał serca.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  <w:t>Według Światowej Organizacji Zdrowia 62% wszystkich udarów mózgu i 49% chorób serca może być związana z występując</w:t>
      </w:r>
      <w:r>
        <w:t xml:space="preserve">ym nadciśnieniem. </w:t>
      </w:r>
      <w:r>
        <w:tab/>
        <w:t xml:space="preserve">Jednocześnie </w:t>
      </w:r>
      <w:r w:rsidRPr="002C64A3">
        <w:t xml:space="preserve">WHO ocenia, że zmniejszenie dziennego pobrania sodu o 50 </w:t>
      </w:r>
      <w:proofErr w:type="spellStart"/>
      <w:r w:rsidRPr="002C64A3">
        <w:t>mmoli</w:t>
      </w:r>
      <w:proofErr w:type="spellEnd"/>
      <w:r w:rsidRPr="002C64A3">
        <w:t xml:space="preserve"> (2,9 g soli) będzie skutkowało spadkiem o 22% przypadków zgonów z powodu udaru mózgu i o 16% z powodu niedokrwiennej choroby serca. </w:t>
      </w:r>
      <w:r w:rsidRPr="002C64A3">
        <w:rPr>
          <w:b/>
        </w:rPr>
        <w:t>Nadmierne spożycie soli jest także jedną z przyczyn rozwoju innych chorób, takich jak osteoporoza, nowotwory żołądka czy choroby nerek</w:t>
      </w:r>
      <w:r w:rsidRPr="002C64A3">
        <w:t xml:space="preserve">. W sposób pośredni, poprzez wpływ na zwiększenie spożycia napojów (w tym słodzonych), wysokie spożycie soli przyczynia się także do rozwoju otyłości. Badania przeprowadzone w Wielkiej Brytanii u 1600 dzieci w wieku od 4 do 18 lat wykazały, że dzieci spożywające dietę o dużej zawartości soli mają skłonności do wypijania większej ilości napojów, w tym napojów słodzonych, które są tuczące. Wykazano także, że zmniejszenie o połowę średniego dziennego spożycia soli może zmniejszyć spożycie energii z dietą dzieci o 250 kcal tygodniowo. </w:t>
      </w:r>
    </w:p>
    <w:p w:rsidR="003615A6" w:rsidRPr="00B62C18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tab/>
        <w:t xml:space="preserve">Istnieją też badania wskazujące, że </w:t>
      </w:r>
      <w:r w:rsidRPr="00D7192A">
        <w:rPr>
          <w:b/>
        </w:rPr>
        <w:t>nadmiar soli w diecie może także przyczyniać się do zwiększenia odczynowości oskrzeli i rozwoju astmy</w:t>
      </w:r>
      <w:r w:rsidRPr="002C64A3">
        <w:t xml:space="preserve">. Nadmierne spożycie soli przez dzieci może oddziaływać na rozwój preferencji do smaku bardziej słonego i kształtowania nieprawidłowych nawyków żywieniowych </w:t>
      </w:r>
      <w:r w:rsidRPr="00B62C18">
        <w:rPr>
          <w:b/>
        </w:rPr>
        <w:t xml:space="preserve">Długotrwałe spożywanie przez dzieci żywności zawierającej znaczące ilości soli oraz ogólnie nieprawidłowe żywienie mogą istotnie przyczynić się do rozwoju chorób cywilizacyjnych w wieku dorosłym.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lastRenderedPageBreak/>
        <w:t>Z tego względu sól, a także słone produkty powinny być mocno ograniczane w diecie dzieci. Zaleca się ograniczenie spożycia soli kuchennej czyli chlorku sodowego (</w:t>
      </w:r>
      <w:proofErr w:type="spellStart"/>
      <w:r w:rsidRPr="002C64A3">
        <w:t>NaCl</w:t>
      </w:r>
      <w:proofErr w:type="spellEnd"/>
      <w:r w:rsidRPr="002C64A3">
        <w:t xml:space="preserve">) do </w:t>
      </w:r>
      <w:r w:rsidRPr="00B62C18">
        <w:rPr>
          <w:b/>
        </w:rPr>
        <w:t>5 g dziennie</w:t>
      </w:r>
      <w:r w:rsidRPr="002C64A3">
        <w:t xml:space="preserve"> (ilość ta obejmuje sól z produktów rynkowych i z dosalania potraw, łącznie).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  <w:t>W odniesieniu do zawartości soli to analiza jej zawartości w produktach spożywczych aktualnie dostępnych na polskim rynku wykazała bardzo duże zróżnicowanie, zarówno pomiędzy poszczególnymi grupami produktów, jak i pomiędzy różnym asortymentem produktów w obrębie tej samej grupy żywności. Szczegółowa analiza danych o zawartości soli w produktach wykazała, że w przypadku serów najmniej soli zawierają sery twarogowe i homogenizowane, odpowiednio: 0,09 – 0,12 g/100 g (od 0,09% do 0,12%). Około 1 g soli w 100 g zawierają sery typu „Fromage” i serki ziarniste. Zawartość soli w serach podpuszczkowych dojrzewających (tzw. żółtych) i topionych jest znacznie wyższa i waha się od około 1,5 g/100g do ponad 4,7 g/100g produktu.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2C64A3">
        <w:t>W wędlinach zawartość soli jest podobnie wysoka jak w serach dojrzewających i waha się od około 1,2 g/100 g (pasta kanapkowa z kurczaka) do prawie 4 g/100 g (polędwica luksusowa). Na ogół więcej soli zawierają kiełbasy suche i podsuszane. Dla większości prezentowanych asortymentów wędlin zawartość soli waha się w granicach około 2 – 3%.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2C64A3">
        <w:t xml:space="preserve">Również ryby wędzone zaliczają się do produktów o wysokiej zawartości soli, sięgającej ponad 3 g/100 g produktu. W przypadku przetworów rybnych zawartość soli jest zróżnicowana i wynosi od około 0,6 g/100 g (śledzie marynowane „Rolmopsy”, śledź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w śmietanie) do około 2,7 g/100 g (śledź marynowany). Większość konserw rybnych zawiera około 1,3–1,7 % soli.</w:t>
      </w:r>
      <w:r>
        <w:t xml:space="preserve"> </w:t>
      </w:r>
      <w:r w:rsidRPr="002C64A3">
        <w:t xml:space="preserve">Margaryny zawierają niewielkie ilości soli, w zakresie od 0,15% (margaryna miękka, 60% tłuszczu) do 0,31% (margaryna miękka, 70% tłuszczu). Wartości te odnoszą się do margaryn niesolonych.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  <w:t>P</w:t>
      </w:r>
      <w:r w:rsidRPr="002C64A3">
        <w:t xml:space="preserve">ieczywo jest grupą, na którą składa się bardzo zróżnicowany asortyment produktów. Zawartość soli waha się w zakresie od 0,32 g/100g (strucle tureckie) do 1,78 g/100g (bagietki francuskie). W grupie pieczywa bardzo nieliczne są wyroby o stosunkowo niskiej zawartości soli, mniejszej niż 0,9 g/100g (np. bułki drożdżowe, chałki, chleb żytni razowy na miodzie, chleb żytni wileński). Przeważająca część pieczywa zawiera znacznie więcej soli, w niektórych asortymentach (np. bułki pszenne, bagietki) wynosi ona 1,4 - 1,8%.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rPr>
          <w:b/>
        </w:rPr>
        <w:tab/>
      </w:r>
      <w:r w:rsidRPr="002C64A3">
        <w:rPr>
          <w:b/>
        </w:rPr>
        <w:t>Pomimo, iż pieczywo, wędliny i sery zawierają dużo soli, kanapki  - w ocenie projektodawców-  jako ważny element posiłków spożywanych w ciągu dnia w szkole powinny być dostępne w sklepikach szkolnych</w:t>
      </w:r>
      <w:r w:rsidRPr="002C64A3">
        <w:t xml:space="preserve">. Ich skład należy jednak urozmaicać poprzez stosowanie dodatku świeżych warzyw (np. sałaty, ogórka, pomidora, papryki i in.). Stosowanie </w:t>
      </w:r>
      <w:r w:rsidRPr="002C64A3">
        <w:lastRenderedPageBreak/>
        <w:t>takich dodatków pozwoli nie tylko na zwiększenie atrakcyjności kanapek, ale także – ze względu na naturalnie małą zawartość sodu w nieprzetworzonej żywności, w tym m.in. w świeżych warzywach, również na „rozcieńczenie” w nich zawartości soli (w przeliczeniu na 100g produktu). Wśród produktów śniadaniowych wyróżniamy produkty o bardzo niskiej zawartości soli, poniżej 0,05 g/100 g (np. płatki owsiane, otręby pszenne, ryż preparowany), oraz produkty o stosunkowo wysokiej jej zawartości: od około 1,6 g/100g do około 3 g/100g (płatki żytnie, płatki pszenne, płatki kukurydziane zwykłe jak i smakowe). Zawartość soli w przetworach warzywnych i owocowych waha się w szerokich granicach od 0,08 g/100 g w przypadku koncentratu pomidorowego do 6 g/100 g w oliwkach zielonych marynowanych, konserwowych.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>Produktami o znaczącej zawartości soli (przeciętnie około 2%) są wyroby przekąskowe typu chipsy ziemniaczane.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rPr>
          <w:b/>
        </w:rPr>
        <w:tab/>
      </w:r>
      <w:r w:rsidRPr="002C64A3">
        <w:rPr>
          <w:b/>
        </w:rPr>
        <w:t>Z kolei w grupie słonych przekąsek najwyższą zawartość soli (badania własne IŻŻ) stwierdzono w paluszkach słonych, która zawierała średnio 2,81 g/100 g produktu (zakres: 2,04 ÷ 3,74 g/100g), w następnej kolejności w chipsach ziemniaczanych 2,14 g/100 g (zakres: 1,53 ÷ 2,48 g/100 g) i chrupkach kukurydzianych - 1,81 g/100 g (zakres: 1,51 ÷ 2,15 g/100g)</w:t>
      </w:r>
      <w:r w:rsidRPr="002C64A3">
        <w:t>. Procent realizacji zalecanego przez WHO maksymalnego dziennego spożycia soli przez porcję chrupek kukurydzianych wahał się w zakresie od 21 % do 46 %. Natomiast jedna paczka chipsów dostarcza, w zależności od rodzaju, od 38 % do ponad 80 % maksymalnej dziennej ilości soli rekomendowanej przez WHO.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2C64A3">
        <w:t xml:space="preserve"> Warto również podkreślić, że z danych badań własnych prowadzonych w Instytucie Żywności i Żywienia wynika, że to właśnie paluszki i chipsy ziemniaczane były przekąskami najczęściej spożywanymi przez dzieci i młodzież w wieku 13–18 lat z terenu Warszawy. Te grupy przekąsek mogą być zatem znaczącym źródłem soli w diecie tej grupy wiekowej.  Z uwagi na dużą zawartość soli w żywności </w:t>
      </w:r>
      <w:proofErr w:type="spellStart"/>
      <w:r w:rsidRPr="002C64A3">
        <w:t>wysokoprzetworzonej</w:t>
      </w:r>
      <w:proofErr w:type="spellEnd"/>
      <w:r w:rsidRPr="002C64A3">
        <w:t>, w tym w słonych przekąskach (chipsy, słone paluszki itp.), w produktach typu „</w:t>
      </w:r>
      <w:r w:rsidRPr="00B62C18">
        <w:rPr>
          <w:i/>
        </w:rPr>
        <w:t>fast food</w:t>
      </w:r>
      <w:r w:rsidRPr="002C64A3">
        <w:t>”, jak również produktach takich jak gotowe dania w puszkach, zupach i sosach w proszku, spożywanie tego typu produktów przez dzieci powinno się maksymalnie ograniczać.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rPr>
          <w:b/>
        </w:rPr>
        <w:tab/>
      </w:r>
      <w:r w:rsidRPr="00D7192A">
        <w:rPr>
          <w:b/>
        </w:rPr>
        <w:t xml:space="preserve">Z powyższych względów, w grupie produktów zakazanych do sprzedaży w sklepikach szkolnych umieszczono produkty typu </w:t>
      </w:r>
      <w:r w:rsidRPr="00B62C18">
        <w:rPr>
          <w:b/>
          <w:i/>
        </w:rPr>
        <w:t>fast</w:t>
      </w:r>
      <w:r w:rsidRPr="00D7192A">
        <w:rPr>
          <w:b/>
        </w:rPr>
        <w:t xml:space="preserve"> </w:t>
      </w:r>
      <w:r w:rsidRPr="00B62C18">
        <w:rPr>
          <w:b/>
          <w:i/>
        </w:rPr>
        <w:t>food, instant</w:t>
      </w:r>
      <w:r w:rsidRPr="00D7192A">
        <w:rPr>
          <w:b/>
        </w:rPr>
        <w:t xml:space="preserve"> oraz słone przekąski</w:t>
      </w:r>
      <w:r w:rsidRPr="002C64A3">
        <w:t xml:space="preserve">. Żywność typu </w:t>
      </w:r>
      <w:r w:rsidRPr="00B62C18">
        <w:rPr>
          <w:i/>
        </w:rPr>
        <w:t>fast food</w:t>
      </w:r>
      <w:r w:rsidRPr="002C64A3">
        <w:t xml:space="preserve"> to rodzaj pożywienia szybko przygotowywanego, podawanego na ciepło i serwowanego na poczekaniu, w dodatku na ogół taniego. Te cechy produktów </w:t>
      </w:r>
      <w:r w:rsidRPr="00B62C18">
        <w:rPr>
          <w:i/>
        </w:rPr>
        <w:t>fast food</w:t>
      </w:r>
      <w:r w:rsidRPr="002C64A3">
        <w:t xml:space="preserve"> powodują, że są one popularne, szczególnie wśród ludzi młodych, stanowiąc alternatywę dla </w:t>
      </w:r>
      <w:r w:rsidRPr="002C64A3">
        <w:lastRenderedPageBreak/>
        <w:t xml:space="preserve">tradycyjnego pożywienia. </w:t>
      </w:r>
      <w:r>
        <w:t xml:space="preserve"> </w:t>
      </w:r>
      <w:r w:rsidRPr="002C64A3">
        <w:t xml:space="preserve">W Polsce spożycie produktów </w:t>
      </w:r>
      <w:r w:rsidRPr="00B62C18">
        <w:rPr>
          <w:i/>
        </w:rPr>
        <w:t>fast food</w:t>
      </w:r>
      <w:r w:rsidRPr="002C64A3">
        <w:t xml:space="preserve"> 1-2 razy w tygodniu deklarowało, w zależności od miejsca zamieszkania, od 40% do ponad 80% młodzieży w wieku do 14 lat. Trzy i więcej razy w tygodniu produkty </w:t>
      </w:r>
      <w:r w:rsidRPr="00B62C18">
        <w:rPr>
          <w:i/>
        </w:rPr>
        <w:t>fast food</w:t>
      </w:r>
      <w:r w:rsidRPr="002C64A3">
        <w:t xml:space="preserve"> spożywało 33,2% uczniów warszawskich szkół w wieku 15-18 lat, a 1-2 razy w tygodniu kolejne 21,1%. W badaniach ankietowych przeprowadzonych przez Bekasa i </w:t>
      </w:r>
      <w:proofErr w:type="spellStart"/>
      <w:r w:rsidRPr="002C64A3">
        <w:t>wsp</w:t>
      </w:r>
      <w:proofErr w:type="spellEnd"/>
      <w:r w:rsidRPr="002C64A3">
        <w:t xml:space="preserve">. w 2009 roku w grupie 582 osób wykazano, że 10% ankietowanych spożywało frytki ziemniaczane codziennie, a 5,5 % 2-4 razy w tygodniu. </w:t>
      </w:r>
    </w:p>
    <w:p w:rsidR="003615A6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2C64A3">
        <w:t xml:space="preserve">Do produktów typu </w:t>
      </w:r>
      <w:r w:rsidRPr="00B62C18">
        <w:rPr>
          <w:i/>
        </w:rPr>
        <w:t>fast food</w:t>
      </w:r>
      <w:r w:rsidRPr="002C64A3">
        <w:t xml:space="preserve"> należą: różne rodzaje hamburgerów, </w:t>
      </w:r>
      <w:proofErr w:type="spellStart"/>
      <w:r w:rsidRPr="002C64A3">
        <w:t>pizze</w:t>
      </w:r>
      <w:proofErr w:type="spellEnd"/>
      <w:r w:rsidRPr="002C64A3">
        <w:t>, frytki, kebaby, zapiekanki</w:t>
      </w:r>
      <w:r>
        <w:t>, tortille</w:t>
      </w:r>
      <w:r w:rsidRPr="002C64A3">
        <w:t xml:space="preserve"> itp. Produkty te dostarczają znaczące ilości energii, a także tłuszczu, kwasów tłuszczowych , w tym izomerów trans oraz soli. Z badań własnych Instytutu Żywności i Żywienia wynika, że hamburgery i inne kanapki podawane na ciepło zawierały średnio 1,15 g soli w 100 g produktu (zakres: od 0,87 g/100 g do 1,37 g/100 g) i odpowiednio 2,01 g w porcji. Porcja hamburgerów realizowała maksymalne rekomendowane dzienne spożycie soli w zakresie od 24% do 49 % w przeliczeniu na porcję. </w:t>
      </w:r>
      <w:r>
        <w:t xml:space="preserve">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2C64A3">
        <w:t xml:space="preserve">W przebadanych frytkach ziemniaczanych średnia zawartość soli wynosiła 0,58 g/100 g (0,83 g/porcję) i zmieniała się w zakresie od 0,13 g/100 g (0,30 g/porcję) do 1,21 g/100 g (2,75 g/porcję). Porcje frytek ziemniaczanych realizowały maksymalne dzienne spożycie soli rekomendowane przez WHO (5 g/dzień) w zakresie od 6,1% do 55% w zależności od miejsca zakupu. Jednocześnie należy zaznaczyć, iż frytki surowe mogą zawierać nawet do 10 g tłuszczu na 100 g produktu. Ponadto smażenie frytek we frytkownicy i na patelni skutkuje od 1,5 do ponad 2-krotnym wzrostem zawartości tłuszczu w zależności od rodzaju frytek.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rPr>
          <w:b/>
        </w:rPr>
        <w:t xml:space="preserve">Przedstawione dane wskazują, że produkty </w:t>
      </w:r>
      <w:r w:rsidRPr="00D7192A">
        <w:rPr>
          <w:b/>
          <w:i/>
        </w:rPr>
        <w:t>fast food</w:t>
      </w:r>
      <w:r w:rsidRPr="002C64A3">
        <w:rPr>
          <w:b/>
        </w:rPr>
        <w:t xml:space="preserve"> są znaczącym źródłem tłuszczu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rPr>
          <w:b/>
        </w:rPr>
        <w:t>i soli w diecie, dlatego też nie powinny być sprzedawane w sklepikach szkolnych.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</w:p>
    <w:p w:rsidR="003615A6" w:rsidRPr="002C64A3" w:rsidRDefault="003615A6" w:rsidP="003615A6">
      <w:pPr>
        <w:numPr>
          <w:ilvl w:val="0"/>
          <w:numId w:val="8"/>
        </w:numPr>
        <w:suppressAutoHyphens/>
        <w:spacing w:before="60" w:after="60" w:line="360" w:lineRule="auto"/>
        <w:jc w:val="both"/>
        <w:rPr>
          <w:b/>
        </w:rPr>
      </w:pPr>
      <w:r w:rsidRPr="002C64A3">
        <w:rPr>
          <w:b/>
        </w:rPr>
        <w:t xml:space="preserve">IZOMERY TRANS KWASÓW TŁUSZCZOWYCH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  <w:t xml:space="preserve">Tłuszcz jest jednym z podstawowych składników odżywczych, niezbędnym dla prawidłowego wzrostu i rozwoju organizmu człowieka. Tłuszcz pokarmowy występuje praktycznie we wszystkich rodzajach żywności spożywanej przez człowieka. W diecie obecny jest zarówno w postaci widocznej (m.in. oleje roślinne, masło), jak i niewidocznej będącej składnikiem pokarmowym różnych produktów spożywczych. Znaczącym źródłem tłuszczu, obok olejów roślinnych i tłuszczów zwierzęcych, jest mleko i przetwory mleczne, ryby, jaja, orzechy i nasiona roślin oleistych. W mniejszych ilościach tłuszcz występuje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w produktach zbożowych. </w:t>
      </w:r>
    </w:p>
    <w:p w:rsidR="003615A6" w:rsidRPr="00D7192A" w:rsidRDefault="003615A6" w:rsidP="003615A6">
      <w:pPr>
        <w:suppressAutoHyphens/>
        <w:spacing w:before="60" w:after="60" w:line="360" w:lineRule="auto"/>
        <w:jc w:val="both"/>
        <w:rPr>
          <w:b/>
        </w:rPr>
      </w:pPr>
      <w:r>
        <w:lastRenderedPageBreak/>
        <w:tab/>
      </w:r>
      <w:r w:rsidRPr="002C64A3">
        <w:t xml:space="preserve">Należy podkreślić, iż tłuszcz jest źródłem energii i kwasów tłuszczowych, w tym niezbędnych nienasyconych kwasów tłuszczowych, tzw. NNKT. Jednak </w:t>
      </w:r>
      <w:r w:rsidRPr="00D7192A">
        <w:rPr>
          <w:b/>
        </w:rPr>
        <w:t xml:space="preserve">nadmiar tłuszczu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D7192A">
        <w:rPr>
          <w:b/>
        </w:rPr>
        <w:t>w codziennej diecie może prowadzić do rozwoju wielu chorób i zaburzeń stanu zdrowia</w:t>
      </w:r>
      <w:r w:rsidRPr="002C64A3">
        <w:t xml:space="preserve">. Aktualne poglądy dietetyków wskazują, że zarówno poziom spożycia tłuszczu, jak i jego skład, mogą być czynnikami ryzyka szeregu schorzeń cywilizacyjnych – otyłości, chorób układu krążenia, nowotworowych, a także upośledzenia funkcji układu odpornościowego. Dlatego tłuszcze zalecane to te, które zawierają znaczące ilości jedno- i wielonienasyconych kwasów tłuszczowych. </w:t>
      </w:r>
      <w:r w:rsidRPr="002C64A3">
        <w:rPr>
          <w:b/>
        </w:rPr>
        <w:t xml:space="preserve">Tłuszcze, których spożycie należy ograniczać to takie, które zawierają znaczne ilości nasyconych kwasów tłuszczowych i izomerów trans nienasyconych kwasów tłuszczowych (tłuszcze trans). Spożycie tych ostatnich powinno być tak niskie, jak to jest możliwe do osiągnięcia we właściwie zbilansowanej diecie.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>
        <w:tab/>
      </w:r>
      <w:r w:rsidRPr="00D7192A">
        <w:rPr>
          <w:b/>
        </w:rPr>
        <w:t xml:space="preserve">Izomery trans nienasyconych kwasów tłuszczowych występują w największych ilościach w wyrobach cukierniczych i ciastkarskich, margarynach twardych (kostkowych), produktach typu </w:t>
      </w:r>
      <w:r w:rsidRPr="00B62C18">
        <w:rPr>
          <w:b/>
          <w:i/>
        </w:rPr>
        <w:t>fast food</w:t>
      </w:r>
      <w:r w:rsidRPr="00D7192A">
        <w:rPr>
          <w:b/>
        </w:rPr>
        <w:t>, w tym przede wszystkim frytkach oraz słonych przekąskach m.in. chipsach ziemniaczanych</w:t>
      </w:r>
      <w:r w:rsidRPr="002C64A3">
        <w:t xml:space="preserve">. Produkty te powinny być spożywane sporadycznie. Należy podkreślić, że zawartość tłuszczów trans w produktach spożywczych jest zmienna i zależy od składu surowcowego oraz stosowanych procesów technologicznych. </w:t>
      </w:r>
      <w:r>
        <w:t xml:space="preserve"> </w:t>
      </w:r>
      <w:r w:rsidRPr="002C64A3">
        <w:t xml:space="preserve">Z badań własnych Instytutu Żywności i Żywienia wynika, że najwyższa przeciętna zawartość izomerów trans kwasów tłuszczowych była stwierdzona w grupie koncentratów zup i sosów – 18,86% wszystkich kwasów tłuszczowych (1,38 g izomerów trans/100g), a w następnej kolejności , w grupie produktów cukierniczych – 10,14% wszystkich kwasów tłuszczowych (1,02 g izomerów trans/100g) i czekoladowych – 7,86% wszystkich kwasów tłuszczowych (1,64 g izomerów trans/100g). W produktach typu fast food przeciętna zawartość nie była wysoka i wynosiła 0,77% wszystkich kwasów tłuszczowych (%w/w). Jednak w grupie frytek ziemniaczanych przeciętna zawartość wynosiła 6,40% w/w osiągając w pojedynczych próbkach frytek wartości nawet powyżej 30% wszystkich kwasów tłuszczowych.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ab/>
        <w:t xml:space="preserve">W gotowych wyrobach cukierniczych średnia zawartość izomerów trans kwasów tłuszczowych wynosiła 1,19% wszystkich kwasów tłuszczowych wahając się w szerokim zakresie od 0,07 % w/w do 21,71 % w/w. Zwraca uwagę znaczne zróżnicowanie zawartości kwasów tłuszczowych trans w obrębie poszczególnych grup produktów. Wyroby czekoladowe zawierały od 0,00 do 21,05% izomerów trans. Jeszcze większą rozpiętość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  <w:r w:rsidRPr="002C64A3">
        <w:t xml:space="preserve">w zawartości kwasów tłuszczowych trans stwierdzono w różnego rodzaju ciastkach: zakres od 0,00 do 43,40%. Stosunkowo niewiele izomerów trans zawierały natomiast przekąski </w:t>
      </w:r>
    </w:p>
    <w:p w:rsidR="003615A6" w:rsidRDefault="003615A6" w:rsidP="003615A6">
      <w:pPr>
        <w:suppressAutoHyphens/>
        <w:spacing w:before="60" w:after="60" w:line="360" w:lineRule="auto"/>
        <w:jc w:val="both"/>
      </w:pPr>
      <w:r w:rsidRPr="002C64A3">
        <w:lastRenderedPageBreak/>
        <w:t>i chipsy ziemniaczane – od 0,00 do 2,86%, a produkty typu fast food (frytki, hamburgery, pizza) – 0,02 do 14,72%. Jak wynika z przedstawionych danych, nawet w obrębie tej samej grupy produktów występują znaczne różnice zawartości izomerów trans, dlatego trudno jest oszacować ich zawartość w diecie. Tym bardziej, spożycie produktów je zawierających powinno być tak minimalne, jak tylko to możliwe</w:t>
      </w:r>
      <w:r w:rsidRPr="002C64A3">
        <w:rPr>
          <w:rStyle w:val="Odwoanieprzypisudolnego"/>
        </w:rPr>
        <w:footnoteReference w:id="7"/>
      </w:r>
      <w:r w:rsidRPr="002C64A3">
        <w:t>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</w:pPr>
    </w:p>
    <w:p w:rsidR="003615A6" w:rsidRPr="00B62C18" w:rsidRDefault="003615A6" w:rsidP="003615A6">
      <w:pPr>
        <w:suppressAutoHyphens/>
        <w:spacing w:before="60" w:after="60" w:line="360" w:lineRule="auto"/>
        <w:jc w:val="both"/>
        <w:rPr>
          <w:b/>
        </w:rPr>
      </w:pPr>
      <w:r w:rsidRPr="002C64A3">
        <w:tab/>
      </w:r>
      <w:r w:rsidRPr="00B62C18">
        <w:rPr>
          <w:b/>
        </w:rPr>
        <w:t xml:space="preserve"> Podsumowując, zdaniem projektodawców podstawową rolą sklepiku szkolnego jest umożliwienie uczniowi podczas pobytu w szkole zakupu produktów żywnościowych lub napojów w celu zaspokojenia swoich potrzeb żywieniowych. Sklepik</w:t>
      </w:r>
      <w:r>
        <w:rPr>
          <w:b/>
        </w:rPr>
        <w:t xml:space="preserve"> szkolny</w:t>
      </w:r>
      <w:r w:rsidRPr="00B62C18">
        <w:rPr>
          <w:b/>
        </w:rPr>
        <w:t xml:space="preserve"> powinien być jednakże jednym z elementów kształtujących i utrwalających prawidłowe nawyki żywieniowe. Chcąc uzyskać pozytywny efekt oddziaływania sklepiku szkolnego na nawyki żywieniowe uczniów, konieczn</w:t>
      </w:r>
      <w:r>
        <w:rPr>
          <w:b/>
        </w:rPr>
        <w:t>e</w:t>
      </w:r>
      <w:r w:rsidRPr="00B62C18">
        <w:rPr>
          <w:b/>
        </w:rPr>
        <w:t xml:space="preserve"> jest wprowadzenie</w:t>
      </w:r>
      <w:r>
        <w:rPr>
          <w:b/>
        </w:rPr>
        <w:t xml:space="preserve"> -</w:t>
      </w:r>
      <w:r w:rsidRPr="00B62C18">
        <w:rPr>
          <w:b/>
        </w:rPr>
        <w:t xml:space="preserve"> </w:t>
      </w:r>
      <w:r>
        <w:rPr>
          <w:b/>
        </w:rPr>
        <w:t xml:space="preserve">drogą ustawy - </w:t>
      </w:r>
      <w:r w:rsidRPr="00B62C18">
        <w:rPr>
          <w:b/>
        </w:rPr>
        <w:t>w sklepikach szkolnych wymog</w:t>
      </w:r>
      <w:r>
        <w:rPr>
          <w:b/>
        </w:rPr>
        <w:t>u</w:t>
      </w:r>
      <w:r w:rsidRPr="00B62C18">
        <w:rPr>
          <w:b/>
        </w:rPr>
        <w:t xml:space="preserve"> racjonalnego doboru produktów spożywczych.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  <w:color w:val="000000"/>
        </w:rPr>
      </w:pPr>
      <w:r w:rsidRPr="002C64A3">
        <w:tab/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  <w:b/>
        </w:rPr>
        <w:tab/>
        <w:t>Przedszkola, podstawówki, gimnazja:</w:t>
      </w:r>
      <w:r w:rsidRPr="002C64A3">
        <w:rPr>
          <w:rFonts w:eastAsia="Calibri"/>
        </w:rPr>
        <w:t xml:space="preserve"> Planowana regulacja będzie polegała na zakazie sprzedaży oraz podawania i reklamy lub prezentacji w/w produktów na terenach przedszkoli, szkół podstawowych oraz gimnazjów i innych placówek opiekuńczo-wychowawczych oraz oświatowo-wychowawczych. Zakazem będą objęte przedszkola  oraz szkoły podstawowe i gimnazjalne wszelkiego typu tj. </w:t>
      </w:r>
      <w:r w:rsidRPr="00B62C18">
        <w:rPr>
          <w:rFonts w:eastAsia="Calibri"/>
          <w:b/>
        </w:rPr>
        <w:t>zarówno placówki państwowe jak i społeczne oraz prywatne.</w:t>
      </w:r>
      <w:r w:rsidRPr="002C64A3">
        <w:rPr>
          <w:rFonts w:eastAsia="Calibri"/>
        </w:rPr>
        <w:t xml:space="preserve"> Zakaz ma dotyczyć wszelkiego rodzaju sklepików, jak również sprzedaży </w:t>
      </w:r>
      <w:r w:rsidRPr="00B62C18">
        <w:rPr>
          <w:rFonts w:eastAsia="Calibri"/>
          <w:b/>
        </w:rPr>
        <w:t>za pośrednictwem automatów</w:t>
      </w:r>
      <w:r w:rsidRPr="002C64A3">
        <w:rPr>
          <w:rFonts w:eastAsia="Calibri"/>
        </w:rPr>
        <w:t xml:space="preserve"> znajdujących się na terenie tych jednostek. Kolejnym elementem nowelizacji jest zakaz  podawania posiłków zawierających w/w składniki na stołówkach szkolnych, co dotyczyłoby zarówno posiłków przygotowywanych na miejscu oraz dostarczanych do szkół na podstawie  innych umów na dostawę produktów spożywczych np. w ramach tzw. </w:t>
      </w:r>
      <w:r w:rsidRPr="00B62C18">
        <w:rPr>
          <w:rFonts w:eastAsia="Calibri"/>
          <w:b/>
        </w:rPr>
        <w:t>cateringu.</w:t>
      </w:r>
      <w:r w:rsidRPr="002C64A3">
        <w:rPr>
          <w:rFonts w:eastAsia="Calibri"/>
        </w:rPr>
        <w:t xml:space="preserve"> </w:t>
      </w:r>
    </w:p>
    <w:p w:rsidR="003615A6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>
        <w:rPr>
          <w:rFonts w:eastAsia="Calibri"/>
        </w:rPr>
        <w:tab/>
      </w:r>
      <w:r w:rsidRPr="002C64A3">
        <w:rPr>
          <w:rFonts w:eastAsia="Calibri"/>
        </w:rPr>
        <w:t xml:space="preserve">Ustawa wprowadza również zakaz reklamy oraz działalności promocyjnej produktów wskazanych w ust. 1 art. 52c na terenach wyszczególnionych powyżej placówek edukacyjnych. Zakaz ten został oparty na założeniu, iż przemysł spożywczy dysponujący wielomilionowymi budżetami w sposób znaczący wpływa na decyzje zakupowe dzieci i młodzieży w wieku szkolnym, potęgowany tym bardziej iż reklamy ww. produktów są nagminnie zamieszczane na </w:t>
      </w:r>
      <w:r w:rsidRPr="002C64A3">
        <w:rPr>
          <w:rFonts w:eastAsia="Calibri"/>
        </w:rPr>
        <w:lastRenderedPageBreak/>
        <w:t xml:space="preserve">terenie szkół. W opinii projektodawców, placówki edukacyjne czy to publiczne czy niepubliczne mają za zadanie spełniać funkcje edukacyjne i wychowawcze w kształceniu dzieci i młodzieży oraz w kreowaniu ich prawidłowych nawyków żywieniowych, czego nie da się pogodzić z byciem orędownikiem idei konsumpcji produktów spożywczych zawierających substancje, których nadmierne spożycie przez dzieci zostało uznane za </w:t>
      </w:r>
      <w:r>
        <w:rPr>
          <w:rFonts w:eastAsia="Calibri"/>
        </w:rPr>
        <w:t xml:space="preserve">posiadające </w:t>
      </w:r>
      <w:r w:rsidRPr="002C64A3">
        <w:rPr>
          <w:rFonts w:eastAsia="Calibri"/>
        </w:rPr>
        <w:t>szkodliw</w:t>
      </w:r>
      <w:r>
        <w:rPr>
          <w:rFonts w:eastAsia="Calibri"/>
        </w:rPr>
        <w:t>y wpływ</w:t>
      </w:r>
      <w:r w:rsidRPr="002C64A3">
        <w:rPr>
          <w:rFonts w:eastAsia="Calibri"/>
        </w:rPr>
        <w:t xml:space="preserve"> </w:t>
      </w:r>
      <w:r>
        <w:rPr>
          <w:rFonts w:eastAsia="Calibri"/>
        </w:rPr>
        <w:t>na stan ich</w:t>
      </w:r>
      <w:r w:rsidRPr="002C64A3">
        <w:rPr>
          <w:rFonts w:eastAsia="Calibri"/>
        </w:rPr>
        <w:t xml:space="preserve"> zdrowia.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  <w:b/>
        </w:rPr>
        <w:t xml:space="preserve">Doświadczenia innych państw: </w:t>
      </w:r>
      <w:r w:rsidRPr="002C64A3">
        <w:rPr>
          <w:rFonts w:eastAsia="Calibri"/>
        </w:rPr>
        <w:t>Podobne regulacje prawne są wprowadzane w innych krajach. Zakaz sprzedaży niektórych produktów w szkołach obowiązuje w Kanadzie, na Łotwie, we Francji oraz w Anglii. Dodatkowo we Francji, Irlandii, Szwecji, Norwegii, Kanadzie wprowadzono zakazy reklamy niektórych produktów żywnościowych oraz napojów (tych których sprzedaż w szkołach została zakazana) skierowanej do dzieci i młodzieży. Ostatnio podobne regulacje wprowadzono również w Stanie Nowy Jork.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t xml:space="preserve">Innym z przykładów działalności krajów europejskich na rzecz promocji zdrowego odżywiania się jest polityka fiskalna, w ramach której kraje nakładają dodatkowe opodatkowanie na produkty zawierające w nadmiarze składniki wpływające na powstawanie i mają wpływ na rozwój niezakaźnych chorób przewlekłych oraz nadwagi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t xml:space="preserve">i otyłości. Przykładem są m.in. Węgry, które w 2012 r. wprowadziły tzw. „podatek od żywności śmieciowej” polegający na pobieraniu dodatkowych opłat za produkty zawierające zbyt dużo cukru, soli lub tłuszczu. Z kolei Dania, w kontekście działań prewencyjnych otyłości, w 2011 zaproponowała „podatek od tłuszczów nasyconych”.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t xml:space="preserve">Będzie on pobierany od produktów takich jak drób, wieprzowina, sery, masło, jadalne oleje roślinne, margaryna i inne tłuszcze, ponadto przekąski ziemniaczane, w których tłuszcze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</w:rPr>
        <w:t>te występują w nadmiarze. Finlandia ma zamiar wprowadzić podatek akcyzowy od słodyczy i produktów podobnych, czekolady, innych produktów zawierających kakao, lodów i lizaków lodowych. Podatek ten ma dotyczyć również napojów bezalkoholowych i z niewielką zawartością alkoholu – soki, lemoniada, woda mineralna i napoje kawowe. Francja, w celu prewencji otyłości, ma zamiar wprowadzić podatek od zawartości cukru w napojach słodzonych, Słowenia także rozważa takie rozwiązania.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  <w:r w:rsidRPr="002C64A3">
        <w:rPr>
          <w:rFonts w:eastAsia="Calibri"/>
          <w:b/>
        </w:rPr>
        <w:t>Sankcje:</w:t>
      </w:r>
      <w:r w:rsidRPr="002C64A3">
        <w:rPr>
          <w:rFonts w:eastAsia="Calibri"/>
        </w:rPr>
        <w:t xml:space="preserve"> Aby zapewnić skuteczność planowanego zakazu handlu oraz reklamy niektórymi produktami konieczne jest - w opinii projektodawców - określenie sankcji za jego nieprzestrzeganie. Projekt opiera się jednakże na koncepcji regulacji o charakterze  </w:t>
      </w:r>
      <w:r w:rsidRPr="002C64A3">
        <w:rPr>
          <w:rFonts w:eastAsia="Calibri"/>
        </w:rPr>
        <w:lastRenderedPageBreak/>
        <w:t>profilaktyczno-edukacyjnym, a nie karnym. Dlatego w zamierzeniu projekt nie wprowadza zbyt restrykcyjnych przepisów penalizujących złamanie zakazu. Proponuje się ograniczenie sankcji jedynie do kar pieniężnych (w wysokości do</w:t>
      </w:r>
      <w:r w:rsidRPr="002C64A3">
        <w:rPr>
          <w:rFonts w:eastAsia="Calibri"/>
          <w:color w:val="211D1E"/>
        </w:rPr>
        <w:t xml:space="preserve"> trzydziestokrotnego przeciętnego wynagrodzenia miesięcznego w gospodarce narodowej za rok poprzedzający</w:t>
      </w:r>
      <w:r w:rsidRPr="002C64A3">
        <w:rPr>
          <w:rFonts w:eastAsia="Calibri"/>
        </w:rPr>
        <w:t xml:space="preserve">), które już  w obecnym stanie prawnym są przewidziane w ustawie za naruszenie jej przepisów i są nakładane przez wojewódzkich inspektorów sanitarnych (art. 103 i 104 ustawy o bezpieczeństwie żywności i żywienia w obecnym brzmieniu). Niezbędnym jest również przyznanie dyrektorom placówek możliwości rozwiązania umowy, na podstawie której podmiot zewnętrzny serwuje lub prowadzi na terenie szkoły sprzedaż żywności i napojów niedozwolonych. Organem odpowiedzialnym za kontrolę przestrzegania zakazu jest Państwowa Inspekcja Sanitarna, która już obecnie sprawuje nadzór nad bezpieczeństwem i warunkami zdrowotnymi żywności i żywienia. </w:t>
      </w:r>
    </w:p>
    <w:p w:rsidR="003615A6" w:rsidRPr="002C64A3" w:rsidRDefault="003615A6" w:rsidP="003615A6">
      <w:pPr>
        <w:suppressAutoHyphens/>
        <w:spacing w:before="60" w:after="60" w:line="360" w:lineRule="auto"/>
        <w:jc w:val="both"/>
        <w:rPr>
          <w:rFonts w:eastAsia="Calibri"/>
        </w:rPr>
      </w:pPr>
    </w:p>
    <w:p w:rsidR="003615A6" w:rsidRPr="002C64A3" w:rsidRDefault="003615A6" w:rsidP="003615A6">
      <w:pPr>
        <w:widowControl w:val="0"/>
        <w:numPr>
          <w:ilvl w:val="0"/>
          <w:numId w:val="6"/>
        </w:numPr>
        <w:tabs>
          <w:tab w:val="left" w:pos="426"/>
        </w:tabs>
        <w:autoSpaceDE w:val="0"/>
        <w:autoSpaceDN w:val="0"/>
        <w:adjustRightInd w:val="0"/>
        <w:spacing w:before="60" w:after="60" w:line="360" w:lineRule="auto"/>
        <w:jc w:val="both"/>
        <w:rPr>
          <w:b/>
          <w:bCs/>
          <w:color w:val="000000"/>
        </w:rPr>
      </w:pPr>
      <w:r w:rsidRPr="002C64A3">
        <w:rPr>
          <w:b/>
          <w:bCs/>
          <w:color w:val="000000"/>
        </w:rPr>
        <w:t>Wpływ regulacji na:</w:t>
      </w:r>
    </w:p>
    <w:p w:rsidR="003615A6" w:rsidRPr="002C64A3" w:rsidRDefault="003615A6" w:rsidP="003615A6">
      <w:pPr>
        <w:numPr>
          <w:ilvl w:val="0"/>
          <w:numId w:val="5"/>
        </w:numPr>
        <w:tabs>
          <w:tab w:val="left" w:pos="851"/>
        </w:tabs>
        <w:spacing w:before="60" w:after="60" w:line="360" w:lineRule="auto"/>
        <w:ind w:left="851" w:hanging="425"/>
        <w:jc w:val="both"/>
        <w:rPr>
          <w:b/>
          <w:bCs/>
          <w:color w:val="000000"/>
        </w:rPr>
      </w:pPr>
      <w:r w:rsidRPr="002C64A3">
        <w:rPr>
          <w:b/>
          <w:bCs/>
          <w:color w:val="000000"/>
        </w:rPr>
        <w:t>sektor finansów publicznych, w tym na budżet państwa i budżety jednostek samorządu terytorialnego:</w:t>
      </w:r>
    </w:p>
    <w:p w:rsidR="003615A6" w:rsidRPr="002C64A3" w:rsidRDefault="003615A6" w:rsidP="003615A6">
      <w:pPr>
        <w:spacing w:before="60" w:after="60" w:line="360" w:lineRule="auto"/>
        <w:ind w:left="1080"/>
        <w:jc w:val="both"/>
        <w:rPr>
          <w:spacing w:val="7"/>
        </w:rPr>
      </w:pPr>
      <w:r w:rsidRPr="002C64A3">
        <w:rPr>
          <w:rStyle w:val="article1"/>
        </w:rPr>
        <w:t>Wejście niniejszej ustawy w życie nie spowoduje żadnych dodatkowych obciążeń dla finansów publicznych.</w:t>
      </w:r>
    </w:p>
    <w:p w:rsidR="003615A6" w:rsidRPr="002C64A3" w:rsidRDefault="003615A6" w:rsidP="003615A6">
      <w:pPr>
        <w:numPr>
          <w:ilvl w:val="0"/>
          <w:numId w:val="5"/>
        </w:numPr>
        <w:tabs>
          <w:tab w:val="left" w:pos="851"/>
        </w:tabs>
        <w:spacing w:before="60" w:after="60" w:line="360" w:lineRule="auto"/>
        <w:ind w:left="851" w:hanging="425"/>
        <w:jc w:val="both"/>
        <w:rPr>
          <w:b/>
          <w:bCs/>
          <w:color w:val="000000"/>
        </w:rPr>
      </w:pPr>
      <w:r w:rsidRPr="002C64A3">
        <w:rPr>
          <w:b/>
          <w:bCs/>
          <w:color w:val="000000"/>
        </w:rPr>
        <w:t>rynek pracy:</w:t>
      </w:r>
    </w:p>
    <w:p w:rsidR="003615A6" w:rsidRPr="002C64A3" w:rsidRDefault="003615A6" w:rsidP="003615A6">
      <w:pPr>
        <w:tabs>
          <w:tab w:val="left" w:pos="851"/>
        </w:tabs>
        <w:spacing w:before="60" w:after="60" w:line="360" w:lineRule="auto"/>
        <w:ind w:left="1080"/>
        <w:jc w:val="both"/>
        <w:rPr>
          <w:bCs/>
          <w:color w:val="000000"/>
        </w:rPr>
      </w:pPr>
      <w:r w:rsidRPr="002C64A3">
        <w:rPr>
          <w:color w:val="000000"/>
        </w:rPr>
        <w:t>Projekt ustawy nie wpływa na rynek pracy.</w:t>
      </w:r>
    </w:p>
    <w:p w:rsidR="003615A6" w:rsidRPr="002C64A3" w:rsidRDefault="003615A6" w:rsidP="003615A6">
      <w:pPr>
        <w:numPr>
          <w:ilvl w:val="0"/>
          <w:numId w:val="5"/>
        </w:numPr>
        <w:tabs>
          <w:tab w:val="left" w:pos="851"/>
        </w:tabs>
        <w:spacing w:before="60" w:after="60" w:line="360" w:lineRule="auto"/>
        <w:ind w:left="851" w:hanging="425"/>
        <w:jc w:val="both"/>
        <w:rPr>
          <w:b/>
          <w:bCs/>
          <w:color w:val="000000"/>
        </w:rPr>
      </w:pPr>
      <w:r w:rsidRPr="002C64A3">
        <w:rPr>
          <w:b/>
          <w:bCs/>
          <w:color w:val="000000"/>
        </w:rPr>
        <w:t>konkurencyjność gospodarki i przedsiębiorczość, w tym na funkcjonowanie przedsiębiorstw:</w:t>
      </w:r>
    </w:p>
    <w:p w:rsidR="003615A6" w:rsidRPr="002C64A3" w:rsidRDefault="003615A6" w:rsidP="003615A6">
      <w:pPr>
        <w:tabs>
          <w:tab w:val="left" w:pos="851"/>
        </w:tabs>
        <w:spacing w:before="60" w:after="60" w:line="360" w:lineRule="auto"/>
        <w:ind w:left="851"/>
        <w:jc w:val="both"/>
        <w:rPr>
          <w:bCs/>
          <w:color w:val="000000"/>
        </w:rPr>
      </w:pPr>
      <w:r w:rsidRPr="002C64A3">
        <w:rPr>
          <w:bCs/>
          <w:color w:val="000000"/>
        </w:rPr>
        <w:t xml:space="preserve">Projekt ustawy nie wpływa na konkurencyjność gospodarki i przedsiębiorczość. </w:t>
      </w:r>
    </w:p>
    <w:p w:rsidR="003615A6" w:rsidRPr="002C64A3" w:rsidRDefault="003615A6" w:rsidP="003615A6">
      <w:pPr>
        <w:numPr>
          <w:ilvl w:val="0"/>
          <w:numId w:val="5"/>
        </w:numPr>
        <w:tabs>
          <w:tab w:val="left" w:pos="851"/>
        </w:tabs>
        <w:spacing w:before="60" w:after="60" w:line="360" w:lineRule="auto"/>
        <w:ind w:left="851" w:hanging="425"/>
        <w:jc w:val="both"/>
        <w:rPr>
          <w:bCs/>
          <w:color w:val="000000"/>
        </w:rPr>
      </w:pPr>
      <w:r w:rsidRPr="002C64A3">
        <w:rPr>
          <w:b/>
          <w:bCs/>
          <w:color w:val="000000"/>
        </w:rPr>
        <w:t>sytuację i rozwój regionalny</w:t>
      </w:r>
      <w:r w:rsidRPr="002C64A3">
        <w:rPr>
          <w:bCs/>
          <w:color w:val="000000"/>
        </w:rPr>
        <w:t>:</w:t>
      </w:r>
    </w:p>
    <w:p w:rsidR="003615A6" w:rsidRPr="002C64A3" w:rsidRDefault="003615A6" w:rsidP="003615A6">
      <w:pPr>
        <w:tabs>
          <w:tab w:val="left" w:pos="851"/>
        </w:tabs>
        <w:spacing w:before="60" w:after="60" w:line="360" w:lineRule="auto"/>
        <w:ind w:left="851"/>
        <w:jc w:val="both"/>
        <w:rPr>
          <w:bCs/>
          <w:color w:val="000000"/>
        </w:rPr>
      </w:pPr>
      <w:r w:rsidRPr="002C64A3">
        <w:rPr>
          <w:color w:val="000000"/>
        </w:rPr>
        <w:t xml:space="preserve">Przyjęcie </w:t>
      </w:r>
      <w:r w:rsidRPr="002C64A3">
        <w:rPr>
          <w:bCs/>
          <w:color w:val="000000"/>
        </w:rPr>
        <w:t>projektu</w:t>
      </w:r>
      <w:r w:rsidRPr="002C64A3">
        <w:rPr>
          <w:color w:val="000000"/>
        </w:rPr>
        <w:t xml:space="preserve"> ustawy nie będzie miało wpływu na sytuację i rozwój regionów.</w:t>
      </w:r>
    </w:p>
    <w:p w:rsidR="003615A6" w:rsidRPr="002C64A3" w:rsidRDefault="003615A6" w:rsidP="003615A6">
      <w:pPr>
        <w:numPr>
          <w:ilvl w:val="0"/>
          <w:numId w:val="5"/>
        </w:numPr>
        <w:tabs>
          <w:tab w:val="left" w:pos="851"/>
        </w:tabs>
        <w:spacing w:before="60" w:after="60" w:line="360" w:lineRule="auto"/>
        <w:ind w:left="851" w:hanging="425"/>
        <w:jc w:val="both"/>
        <w:rPr>
          <w:b/>
          <w:bCs/>
          <w:color w:val="000000"/>
        </w:rPr>
      </w:pPr>
      <w:r w:rsidRPr="002C64A3">
        <w:rPr>
          <w:b/>
          <w:bCs/>
          <w:color w:val="000000"/>
        </w:rPr>
        <w:t>na ochronę środowiska:</w:t>
      </w:r>
    </w:p>
    <w:p w:rsidR="003615A6" w:rsidRPr="002C64A3" w:rsidRDefault="003615A6" w:rsidP="003615A6">
      <w:pPr>
        <w:tabs>
          <w:tab w:val="left" w:pos="851"/>
        </w:tabs>
        <w:spacing w:before="60" w:after="60" w:line="360" w:lineRule="auto"/>
        <w:ind w:left="851"/>
        <w:jc w:val="both"/>
        <w:rPr>
          <w:bCs/>
          <w:color w:val="000000"/>
        </w:rPr>
      </w:pPr>
      <w:r w:rsidRPr="002C64A3">
        <w:rPr>
          <w:bCs/>
          <w:color w:val="000000"/>
        </w:rPr>
        <w:t xml:space="preserve">Projekt ustawy nie wpływa na środowisko naturalne. </w:t>
      </w:r>
    </w:p>
    <w:p w:rsidR="003615A6" w:rsidRPr="002C64A3" w:rsidRDefault="003615A6" w:rsidP="003615A6">
      <w:pPr>
        <w:tabs>
          <w:tab w:val="left" w:pos="851"/>
        </w:tabs>
        <w:spacing w:before="60" w:after="60" w:line="360" w:lineRule="auto"/>
        <w:jc w:val="both"/>
        <w:rPr>
          <w:b/>
          <w:bCs/>
          <w:color w:val="000000"/>
        </w:rPr>
      </w:pPr>
    </w:p>
    <w:p w:rsidR="003615A6" w:rsidRPr="002C64A3" w:rsidRDefault="003615A6" w:rsidP="003615A6">
      <w:pPr>
        <w:numPr>
          <w:ilvl w:val="0"/>
          <w:numId w:val="6"/>
        </w:numPr>
        <w:spacing w:before="240" w:after="480" w:line="360" w:lineRule="auto"/>
        <w:jc w:val="both"/>
        <w:rPr>
          <w:b/>
        </w:rPr>
      </w:pPr>
      <w:r w:rsidRPr="002C64A3">
        <w:rPr>
          <w:b/>
        </w:rPr>
        <w:t>Skutki społeczne i finansowe wprowadzanej regulacji.</w:t>
      </w:r>
    </w:p>
    <w:p w:rsidR="003615A6" w:rsidRPr="002C64A3" w:rsidRDefault="003615A6" w:rsidP="003615A6">
      <w:pPr>
        <w:spacing w:before="240" w:line="360" w:lineRule="auto"/>
        <w:jc w:val="both"/>
      </w:pPr>
      <w:r w:rsidRPr="002C64A3">
        <w:lastRenderedPageBreak/>
        <w:tab/>
        <w:t xml:space="preserve">Przedmiotowy projekt wywoła pozytywne skutki społeczne w postaci zwiększenia poziomu świadomości społeczeństwa w zakresie zdrowych nawyków żywieniowych oraz ograniczy w znaczący sposób sprzedaż produktów </w:t>
      </w:r>
      <w:r>
        <w:t xml:space="preserve">zawierających nadmiar substancji niezalecanych do spożycia dla dzieci </w:t>
      </w:r>
      <w:r w:rsidRPr="002C64A3">
        <w:t xml:space="preserve">na terenach placówek edukacyjnych i opiekuńczych na poziomie szkolenia podstawowego i gimnazjalnego, co  doprowadzi do wprowadzenia do jadłospisu dzieci w wieku szkolnym bardziej zróżnicowanej diety oraz w konsekwencji do poprawy stanu zdrowia znacznej części społeczeństwa w przyszłości.  Z kolei, polepszenie stanu zdrowia społeczeństwa przełoży się w sposób wymierny na zmniejszenie wydatków finansowych państwa przeznaczonych na opiekę zdrowotną i leczenie chorób cywilizacyjnych tj. otyłość czy cukrzyca. Jak wskazywano już powyżej, głównym czynnikiem ryzyka rozwoju wielu z tych chorób </w:t>
      </w:r>
      <w:proofErr w:type="spellStart"/>
      <w:r w:rsidRPr="002C64A3">
        <w:t>dietozależnych</w:t>
      </w:r>
      <w:proofErr w:type="spellEnd"/>
      <w:r w:rsidRPr="002C64A3">
        <w:t xml:space="preserve">  jest niezdrowy styl życia, w tym nieodpowiedni sposób odżywiania i bierność fizyczna mające swój początek często już w wieku młodzieńczym. Otyłość i choroby z niej wynikające są ogromnym obciążeniem ekonomicznym dla budżetu państwa i dla społeczeństwa. Według szacunków ekspertów koszty leczenia otyłości i jej konsekwencji pochłaniają ok. 3 mld zł rocznie, czyli ok. 5 proc. budżetu służby zdrowia</w:t>
      </w:r>
      <w:r w:rsidRPr="002C64A3">
        <w:rPr>
          <w:rStyle w:val="Odwoanieprzypisudolnego"/>
        </w:rPr>
        <w:footnoteReference w:id="8"/>
      </w:r>
      <w:r w:rsidRPr="002C64A3">
        <w:t>.</w:t>
      </w:r>
      <w:r w:rsidRPr="00BC52DF">
        <w:t xml:space="preserve"> Według szacunków ekspertów,  o </w:t>
      </w:r>
      <w:r>
        <w:t xml:space="preserve">aż </w:t>
      </w:r>
      <w:r w:rsidRPr="00BC52DF">
        <w:t>44 proc. wyższe są koszty opieki zdrowotnej u osób z nadwagą i otyłością niż tych z prawidłową masą ciała</w:t>
      </w:r>
      <w:r>
        <w:rPr>
          <w:rStyle w:val="Odwoanieprzypisudolnego"/>
        </w:rPr>
        <w:footnoteReference w:id="9"/>
      </w:r>
      <w:r w:rsidRPr="00BC52DF">
        <w:t>. Tylko na leczenie cukrzycy wydaje się rocznie z budżetu państwa ok. 2,5 mld zł</w:t>
      </w:r>
      <w:r>
        <w:rPr>
          <w:rStyle w:val="Odwoanieprzypisudolnego"/>
        </w:rPr>
        <w:footnoteReference w:id="10"/>
      </w:r>
      <w:r w:rsidRPr="00BC52DF">
        <w:t xml:space="preserve">. </w:t>
      </w:r>
      <w:r>
        <w:t>Eksperci podkreślają, że Państwa nie stać na leczenie skutków otyłości. Dlatego tak ważne jest jej zapobieganie.  Uznaje się ,że działania prewencyjne w służbie zdrowia są 80-100-krotnie tańsze niż leczenie chorób.</w:t>
      </w:r>
    </w:p>
    <w:p w:rsidR="003615A6" w:rsidRPr="002C64A3" w:rsidRDefault="003615A6" w:rsidP="003615A6">
      <w:pPr>
        <w:numPr>
          <w:ilvl w:val="0"/>
          <w:numId w:val="6"/>
        </w:numPr>
        <w:spacing w:before="240" w:line="360" w:lineRule="auto"/>
        <w:jc w:val="both"/>
        <w:rPr>
          <w:b/>
        </w:rPr>
      </w:pPr>
      <w:r w:rsidRPr="002C64A3">
        <w:rPr>
          <w:b/>
        </w:rPr>
        <w:t>Oświadczenie o konieczności wydania aktów wykonawczych.</w:t>
      </w:r>
    </w:p>
    <w:p w:rsidR="003615A6" w:rsidRDefault="003615A6" w:rsidP="003615A6">
      <w:pPr>
        <w:spacing w:before="240" w:line="360" w:lineRule="auto"/>
        <w:jc w:val="both"/>
        <w:rPr>
          <w:bCs/>
          <w:color w:val="000000"/>
        </w:rPr>
      </w:pPr>
      <w:r w:rsidRPr="002C64A3">
        <w:rPr>
          <w:bCs/>
          <w:color w:val="000000"/>
        </w:rPr>
        <w:t xml:space="preserve">Projekt nie wymaga wydania nowych aktów wykonawczych. </w:t>
      </w:r>
    </w:p>
    <w:p w:rsidR="003615A6" w:rsidRPr="002C64A3" w:rsidRDefault="003615A6" w:rsidP="003615A6">
      <w:pPr>
        <w:spacing w:before="240" w:line="360" w:lineRule="auto"/>
        <w:jc w:val="both"/>
      </w:pPr>
    </w:p>
    <w:p w:rsidR="003615A6" w:rsidRPr="002C64A3" w:rsidRDefault="003615A6" w:rsidP="003615A6">
      <w:pPr>
        <w:numPr>
          <w:ilvl w:val="0"/>
          <w:numId w:val="6"/>
        </w:numPr>
        <w:tabs>
          <w:tab w:val="left" w:pos="851"/>
        </w:tabs>
        <w:spacing w:before="60" w:after="60" w:line="360" w:lineRule="auto"/>
        <w:jc w:val="both"/>
        <w:rPr>
          <w:b/>
          <w:bCs/>
          <w:color w:val="000000"/>
        </w:rPr>
      </w:pPr>
      <w:r w:rsidRPr="002C64A3">
        <w:rPr>
          <w:b/>
          <w:bCs/>
          <w:color w:val="000000"/>
        </w:rPr>
        <w:t>Oświadczenie o zgodności projektu ustawy z prawem Unii Europejskiej</w:t>
      </w:r>
    </w:p>
    <w:p w:rsidR="003615A6" w:rsidRPr="00C60A2D" w:rsidRDefault="003615A6" w:rsidP="003615A6">
      <w:pPr>
        <w:spacing w:before="60" w:after="60" w:line="360" w:lineRule="auto"/>
        <w:jc w:val="both"/>
        <w:rPr>
          <w:rStyle w:val="article1"/>
          <w:b/>
        </w:rPr>
      </w:pPr>
    </w:p>
    <w:p w:rsidR="003615A6" w:rsidRPr="00C60A2D" w:rsidRDefault="003615A6" w:rsidP="003615A6">
      <w:pPr>
        <w:spacing w:before="60" w:after="60" w:line="360" w:lineRule="auto"/>
        <w:jc w:val="both"/>
        <w:rPr>
          <w:rStyle w:val="article1"/>
          <w:b/>
        </w:rPr>
      </w:pPr>
      <w:r w:rsidRPr="00C60A2D">
        <w:rPr>
          <w:rStyle w:val="article1"/>
          <w:b/>
        </w:rPr>
        <w:t>Przedmiot projektowanej ustawy jest zgodny z prawem Unii Europejskiej.</w:t>
      </w:r>
    </w:p>
    <w:p w:rsidR="003615A6" w:rsidRPr="002C64A3" w:rsidRDefault="003615A6" w:rsidP="003615A6">
      <w:pPr>
        <w:spacing w:before="60" w:after="60" w:line="360" w:lineRule="auto"/>
        <w:jc w:val="both"/>
        <w:rPr>
          <w:rStyle w:val="article1"/>
        </w:rPr>
      </w:pPr>
      <w:r w:rsidRPr="002C64A3">
        <w:rPr>
          <w:rStyle w:val="article1"/>
        </w:rPr>
        <w:t>Projektodawcy pragną podkreślić, iż zakaz sprzedaży, podawania oraz reklamowania wskazanych w art. 1 ww. projektu ustawy produktów żywieniowych będzie miał zastosowanie do wszystkich produktów wskazanych w przepisie, niezależnie od kraju ich pochodzenia. W związku z powyższym zakaz ten,</w:t>
      </w:r>
      <w:r w:rsidRPr="002C64A3">
        <w:t xml:space="preserve"> </w:t>
      </w:r>
      <w:r w:rsidRPr="002C64A3">
        <w:rPr>
          <w:rStyle w:val="article1"/>
        </w:rPr>
        <w:t xml:space="preserve">z prawnego i faktycznego punktu widzenia będzie wywierał </w:t>
      </w:r>
      <w:r w:rsidRPr="002C64A3">
        <w:rPr>
          <w:rStyle w:val="article1"/>
        </w:rPr>
        <w:lastRenderedPageBreak/>
        <w:t xml:space="preserve">taki sam wpływ na wprowadzanie do obrotu produktów krajowych i pochodzących z innych państw członkowskich,  i będzie miał zastosowanie do wszystkich odpowiednich podmiotów gospodarczych na terytorium Polski. </w:t>
      </w:r>
      <w:r>
        <w:rPr>
          <w:rStyle w:val="article1"/>
        </w:rPr>
        <w:t xml:space="preserve">Zakaz wprowadzony w przepisach ustawy nie stanowi więc środka arbitralnej dyskryminacji towarów pochodzących z innych państw członkowskich i nie jest nieproporcjonalny, gdyż jego celem jest ochrona zdrowia dzieci w wieku szkolnym poprzez ograniczenie dostępu do produktów żywieniowych zawierających substancje niewskazane do codziennego spożycia na terenie placówek szkolnych i opiekuńczo-wychowawczych. </w:t>
      </w:r>
      <w:r w:rsidRPr="002C64A3">
        <w:rPr>
          <w:rStyle w:val="article1"/>
        </w:rPr>
        <w:t xml:space="preserve">Z tego też względu zakaz nie będzie </w:t>
      </w:r>
      <w:r>
        <w:rPr>
          <w:rStyle w:val="article1"/>
        </w:rPr>
        <w:t>godził w zasadę swobodnego przepływu towarów na rynku wspólnotowym oraz inne wspólnotowe swobody gospodarcze</w:t>
      </w:r>
      <w:r w:rsidRPr="002C64A3">
        <w:rPr>
          <w:rStyle w:val="article1"/>
        </w:rPr>
        <w:t>.</w:t>
      </w:r>
    </w:p>
    <w:p w:rsidR="003615A6" w:rsidRPr="002C64A3" w:rsidRDefault="003615A6" w:rsidP="003615A6">
      <w:pPr>
        <w:spacing w:before="60" w:after="60" w:line="360" w:lineRule="auto"/>
        <w:jc w:val="both"/>
        <w:rPr>
          <w:rStyle w:val="article1"/>
        </w:rPr>
      </w:pPr>
    </w:p>
    <w:p w:rsidR="003615A6" w:rsidRPr="002C64A3" w:rsidRDefault="003615A6" w:rsidP="003615A6">
      <w:pPr>
        <w:spacing w:before="60" w:after="60" w:line="360" w:lineRule="auto"/>
        <w:jc w:val="both"/>
      </w:pPr>
    </w:p>
    <w:p w:rsidR="003615A6" w:rsidRPr="002C64A3" w:rsidRDefault="003615A6" w:rsidP="003615A6">
      <w:pPr>
        <w:spacing w:before="60" w:after="60" w:line="360" w:lineRule="auto"/>
        <w:jc w:val="both"/>
        <w:rPr>
          <w:b/>
          <w:bCs/>
        </w:rPr>
      </w:pPr>
    </w:p>
    <w:p w:rsidR="003615A6" w:rsidRPr="002C64A3" w:rsidRDefault="003615A6" w:rsidP="003615A6">
      <w:pPr>
        <w:spacing w:before="60" w:after="60" w:line="360" w:lineRule="auto"/>
        <w:jc w:val="both"/>
        <w:rPr>
          <w:b/>
          <w:bCs/>
        </w:rPr>
      </w:pPr>
    </w:p>
    <w:p w:rsidR="003615A6" w:rsidRPr="002C64A3" w:rsidRDefault="003615A6" w:rsidP="003615A6">
      <w:pPr>
        <w:spacing w:line="360" w:lineRule="auto"/>
        <w:jc w:val="both"/>
      </w:pPr>
    </w:p>
    <w:p w:rsidR="003615A6" w:rsidRPr="002C64A3" w:rsidRDefault="003615A6" w:rsidP="003615A6">
      <w:pPr>
        <w:spacing w:line="360" w:lineRule="auto"/>
        <w:jc w:val="both"/>
      </w:pPr>
    </w:p>
    <w:p w:rsidR="003615A6" w:rsidRPr="002C64A3" w:rsidRDefault="003615A6" w:rsidP="003615A6">
      <w:pPr>
        <w:spacing w:before="60" w:after="60" w:line="360" w:lineRule="auto"/>
        <w:jc w:val="both"/>
      </w:pPr>
    </w:p>
    <w:p w:rsidR="003615A6" w:rsidRPr="002C64A3" w:rsidRDefault="003615A6" w:rsidP="003615A6">
      <w:pPr>
        <w:spacing w:before="60" w:after="60" w:line="360" w:lineRule="auto"/>
        <w:jc w:val="both"/>
        <w:rPr>
          <w:b/>
          <w:bCs/>
        </w:rPr>
      </w:pPr>
    </w:p>
    <w:p w:rsidR="003615A6" w:rsidRPr="002C64A3" w:rsidRDefault="003615A6" w:rsidP="003615A6">
      <w:pPr>
        <w:spacing w:before="60" w:after="60" w:line="360" w:lineRule="auto"/>
        <w:jc w:val="both"/>
        <w:rPr>
          <w:b/>
          <w:bCs/>
        </w:rPr>
      </w:pPr>
    </w:p>
    <w:p w:rsidR="003615A6" w:rsidRPr="002C64A3" w:rsidRDefault="003615A6" w:rsidP="003615A6">
      <w:pPr>
        <w:jc w:val="both"/>
      </w:pPr>
    </w:p>
    <w:p w:rsidR="003615A6" w:rsidRDefault="003615A6" w:rsidP="00DC7385">
      <w:pPr>
        <w:spacing w:line="360" w:lineRule="auto"/>
        <w:jc w:val="both"/>
        <w:rPr>
          <w:sz w:val="28"/>
          <w:szCs w:val="28"/>
        </w:rPr>
      </w:pPr>
    </w:p>
    <w:sectPr w:rsidR="003615A6" w:rsidSect="00DC7385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0E9E" w:rsidRDefault="002D0E9E" w:rsidP="003615A6">
      <w:r>
        <w:separator/>
      </w:r>
    </w:p>
  </w:endnote>
  <w:endnote w:type="continuationSeparator" w:id="0">
    <w:p w:rsidR="002D0E9E" w:rsidRDefault="002D0E9E" w:rsidP="0036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0E9E" w:rsidRDefault="002D0E9E" w:rsidP="003615A6">
      <w:r>
        <w:separator/>
      </w:r>
    </w:p>
  </w:footnote>
  <w:footnote w:type="continuationSeparator" w:id="0">
    <w:p w:rsidR="002D0E9E" w:rsidRDefault="002D0E9E" w:rsidP="003615A6">
      <w:r>
        <w:continuationSeparator/>
      </w:r>
    </w:p>
  </w:footnote>
  <w:footnote w:id="1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Zmiany tekstu jednolitego ustawy zostały ogłoszone w </w:t>
      </w:r>
      <w:proofErr w:type="spellStart"/>
      <w:r>
        <w:t>Dz.U</w:t>
      </w:r>
      <w:proofErr w:type="spellEnd"/>
      <w:r>
        <w:t>. z 2010, Nr 21, poz. 105, Nr 182, poz. 1228 i nr 230, poz. 1511 oraz z 2011 r., Nr 106, poz. 622, Nr 122,poz. 692 i Nr 171, poz. 1016.</w:t>
      </w:r>
    </w:p>
  </w:footnote>
  <w:footnote w:id="2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„Cukrów dodanych ” w rozumieniu przepisów prawa UE tj. rozporządzenia PE i Rady nr 1169/2011 z dnia 26 października 2011 r oraz definicji zawartej w Załączniku do Rozporządzenia Parlamentu Europejskiego i Rady z dnia 20 grudnia 2006 r. w sprawie oświadczeń żywieniowych i zdrowotnych dotyczących żywności. </w:t>
      </w:r>
    </w:p>
  </w:footnote>
  <w:footnote w:id="3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 w</w:t>
      </w:r>
      <w:r w:rsidRPr="00F64787">
        <w:t xml:space="preserve"> rozumieniu przepisów prawa UE tj. rozporządzenia PE i Rady nr 1169/2011 z dnia 26 października 2011 r oraz definicji zawartej w Załączniku do Rozporządzenia Parlamentu Europejskiego i Rady z dnia 20 grudnia 2006 r. w sprawie oświadczeń żywieniowych i zdrowotnych dotyczących żywności.</w:t>
      </w:r>
    </w:p>
  </w:footnote>
  <w:footnote w:id="4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W rozumieniu definicji </w:t>
      </w:r>
      <w:r w:rsidRPr="00A3691C">
        <w:t>zawartej w Załączniku do Rozporządzenia Parlamentu Europejskiego i Rady z dnia 20 grudnia 2006 r. w sprawie oświadczeń żywieniowych i zdrowotnych dotyczących żywności</w:t>
      </w:r>
    </w:p>
  </w:footnote>
  <w:footnote w:id="5">
    <w:p w:rsidR="003615A6" w:rsidRPr="00461BE9" w:rsidRDefault="003615A6" w:rsidP="003615A6">
      <w:pPr>
        <w:pStyle w:val="Default"/>
        <w:rPr>
          <w:sz w:val="20"/>
          <w:szCs w:val="20"/>
        </w:rPr>
      </w:pPr>
      <w:r w:rsidRPr="00D5504C">
        <w:rPr>
          <w:rStyle w:val="Odwoanieprzypisudolnego"/>
          <w:sz w:val="20"/>
        </w:rPr>
        <w:footnoteRef/>
      </w:r>
      <w:r w:rsidRPr="00D5504C">
        <w:rPr>
          <w:sz w:val="20"/>
        </w:rPr>
        <w:t xml:space="preserve"> </w:t>
      </w:r>
      <w:r w:rsidRPr="00461BE9">
        <w:rPr>
          <w:sz w:val="20"/>
          <w:szCs w:val="20"/>
        </w:rPr>
        <w:t xml:space="preserve">Źródło: </w:t>
      </w:r>
      <w:proofErr w:type="spellStart"/>
      <w:r w:rsidRPr="00461BE9">
        <w:rPr>
          <w:sz w:val="20"/>
          <w:szCs w:val="20"/>
        </w:rPr>
        <w:t>Ziemlański</w:t>
      </w:r>
      <w:proofErr w:type="spellEnd"/>
      <w:r w:rsidRPr="00461BE9">
        <w:rPr>
          <w:sz w:val="20"/>
          <w:szCs w:val="20"/>
        </w:rPr>
        <w:t xml:space="preserve"> Ś.: Podstawy prawidłowego żywienia człowieka. Zalecenia żywieniowe dla ludności w Polsce. Warszawa, Instytut </w:t>
      </w:r>
      <w:proofErr w:type="spellStart"/>
      <w:r w:rsidRPr="00461BE9">
        <w:rPr>
          <w:sz w:val="20"/>
          <w:szCs w:val="20"/>
        </w:rPr>
        <w:t>Danone</w:t>
      </w:r>
      <w:proofErr w:type="spellEnd"/>
      <w:r w:rsidRPr="00461BE9">
        <w:rPr>
          <w:sz w:val="20"/>
          <w:szCs w:val="20"/>
        </w:rPr>
        <w:t>, 1998</w:t>
      </w:r>
    </w:p>
  </w:footnote>
  <w:footnote w:id="6">
    <w:p w:rsidR="003615A6" w:rsidRPr="00D5504C" w:rsidRDefault="003615A6" w:rsidP="003615A6">
      <w:pPr>
        <w:pStyle w:val="Tekstprzypisudolnego"/>
        <w:rPr>
          <w:sz w:val="16"/>
        </w:rPr>
      </w:pPr>
      <w:r w:rsidRPr="00461BE9">
        <w:rPr>
          <w:rStyle w:val="Odwoanieprzypisudolnego"/>
        </w:rPr>
        <w:footnoteRef/>
      </w:r>
      <w:r w:rsidRPr="00461BE9">
        <w:t xml:space="preserve"> </w:t>
      </w:r>
      <w:r w:rsidRPr="001D5C94">
        <w:rPr>
          <w:i/>
        </w:rPr>
        <w:t>Ibidem</w:t>
      </w:r>
    </w:p>
  </w:footnote>
  <w:footnote w:id="7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A93296">
        <w:t>Zdaniem ekspertów z Europejskiego Urzędu do spraw Bezpieczeństwa Żywności (EFSA) -  agencji unijnej zajmującej się określaniem standardów produktów żywnościowych oraz przygotowywaniem aktów prawnych w zakresie żywności - spożycie izomerów trans kwasów tłuszczowych powinno być tak niskie, jak to możliwe do osiągnięcia we właściwie zbilansowanej diecie</w:t>
      </w:r>
      <w:r>
        <w:t>.</w:t>
      </w:r>
    </w:p>
  </w:footnote>
  <w:footnote w:id="8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14C7">
        <w:t>Instytut Żywności i Żywienia</w:t>
      </w:r>
      <w:r>
        <w:t>, źródło: www.</w:t>
      </w:r>
      <w:r w:rsidRPr="00F614C7">
        <w:t>biznes.newsweek.pl/na-wage-zlota,32455,1,1.html</w:t>
      </w:r>
    </w:p>
  </w:footnote>
  <w:footnote w:id="9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C52DF">
        <w:t>Szacuje się, że ponad 1/5 wszystkich środków na ochronę zdrowia w Polsce pochłania leczenie powikłań nadwagi i otyłości</w:t>
      </w:r>
      <w:r>
        <w:t>.</w:t>
      </w:r>
    </w:p>
  </w:footnote>
  <w:footnote w:id="10">
    <w:p w:rsidR="003615A6" w:rsidRDefault="003615A6" w:rsidP="003615A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hyperlink r:id="rId1" w:history="1">
        <w:r w:rsidRPr="002E0503">
          <w:rPr>
            <w:rStyle w:val="Hipercze"/>
          </w:rPr>
          <w:t>http://www.hotmoney.pl/artykul/otylosc-kosztuje-nas-grube-miliardy-27469/2</w:t>
        </w:r>
      </w:hyperlink>
      <w:r>
        <w:t xml:space="preserve">, </w:t>
      </w:r>
      <w:r>
        <w:rPr>
          <w:rStyle w:val="Data1"/>
        </w:rPr>
        <w:t>23.09.2012 23:50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09FF"/>
    <w:multiLevelType w:val="hybridMultilevel"/>
    <w:tmpl w:val="32F64D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047BB"/>
    <w:multiLevelType w:val="hybridMultilevel"/>
    <w:tmpl w:val="EFEA69CE"/>
    <w:lvl w:ilvl="0" w:tplc="3252F01A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">
    <w:nsid w:val="127661CA"/>
    <w:multiLevelType w:val="hybridMultilevel"/>
    <w:tmpl w:val="0FA812C0"/>
    <w:lvl w:ilvl="0" w:tplc="CEAE9A3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61194"/>
    <w:multiLevelType w:val="hybridMultilevel"/>
    <w:tmpl w:val="F9CC8DDA"/>
    <w:lvl w:ilvl="0" w:tplc="7F18518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A051CCC"/>
    <w:multiLevelType w:val="hybridMultilevel"/>
    <w:tmpl w:val="E370FF08"/>
    <w:lvl w:ilvl="0" w:tplc="FE468D9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43782311"/>
    <w:multiLevelType w:val="hybridMultilevel"/>
    <w:tmpl w:val="0EDC4936"/>
    <w:lvl w:ilvl="0" w:tplc="0BC25C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C2660C"/>
    <w:multiLevelType w:val="hybridMultilevel"/>
    <w:tmpl w:val="4DB8E0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DA44AA"/>
    <w:multiLevelType w:val="hybridMultilevel"/>
    <w:tmpl w:val="0D967B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C8"/>
    <w:rsid w:val="002A54CC"/>
    <w:rsid w:val="002D0E9E"/>
    <w:rsid w:val="003615A6"/>
    <w:rsid w:val="004159E3"/>
    <w:rsid w:val="00553A98"/>
    <w:rsid w:val="006601BB"/>
    <w:rsid w:val="00694D7C"/>
    <w:rsid w:val="006F229B"/>
    <w:rsid w:val="00706072"/>
    <w:rsid w:val="00772D73"/>
    <w:rsid w:val="007C529E"/>
    <w:rsid w:val="007D6C94"/>
    <w:rsid w:val="00936BF7"/>
    <w:rsid w:val="0095270C"/>
    <w:rsid w:val="009645BF"/>
    <w:rsid w:val="00971BEF"/>
    <w:rsid w:val="009B4CCB"/>
    <w:rsid w:val="00B768BA"/>
    <w:rsid w:val="00C53A15"/>
    <w:rsid w:val="00D424C8"/>
    <w:rsid w:val="00DC7385"/>
    <w:rsid w:val="00DF6DC1"/>
    <w:rsid w:val="00E84156"/>
    <w:rsid w:val="00EE22E7"/>
    <w:rsid w:val="00FD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D424C8"/>
  </w:style>
  <w:style w:type="paragraph" w:styleId="Tekstdymka">
    <w:name w:val="Balloon Text"/>
    <w:basedOn w:val="Normalny"/>
    <w:link w:val="TekstdymkaZnak"/>
    <w:uiPriority w:val="99"/>
    <w:semiHidden/>
    <w:unhideWhenUsed/>
    <w:rsid w:val="009B4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C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3615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3615A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615A6"/>
    <w:pPr>
      <w:jc w:val="both"/>
    </w:pPr>
    <w:rPr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5A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3615A6"/>
    <w:pPr>
      <w:jc w:val="center"/>
    </w:pPr>
    <w:rPr>
      <w:sz w:val="32"/>
      <w:lang w:eastAsia="en-US"/>
    </w:rPr>
  </w:style>
  <w:style w:type="character" w:customStyle="1" w:styleId="TytuZnak">
    <w:name w:val="Tytuł Znak"/>
    <w:basedOn w:val="Domylnaczcionkaakapitu"/>
    <w:link w:val="Tytu"/>
    <w:rsid w:val="003615A6"/>
    <w:rPr>
      <w:rFonts w:ascii="Times New Roman" w:eastAsia="Times New Roman" w:hAnsi="Times New Roman" w:cs="Times New Roman"/>
      <w:sz w:val="32"/>
      <w:szCs w:val="24"/>
    </w:rPr>
  </w:style>
  <w:style w:type="character" w:customStyle="1" w:styleId="article1">
    <w:name w:val="article1"/>
    <w:rsid w:val="003615A6"/>
    <w:rPr>
      <w:rFonts w:ascii="Verdana" w:hAnsi="Verdana" w:hint="default"/>
      <w:spacing w:val="7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5A6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5A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5A6"/>
    <w:rPr>
      <w:vertAlign w:val="superscript"/>
    </w:rPr>
  </w:style>
  <w:style w:type="paragraph" w:customStyle="1" w:styleId="Default">
    <w:name w:val="Default"/>
    <w:rsid w:val="00361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15A6"/>
    <w:rPr>
      <w:color w:val="0000FF"/>
      <w:u w:val="single"/>
    </w:rPr>
  </w:style>
  <w:style w:type="character" w:customStyle="1" w:styleId="Data1">
    <w:name w:val="Data1"/>
    <w:basedOn w:val="Domylnaczcionkaakapitu"/>
    <w:rsid w:val="00361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24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1">
    <w:name w:val="h1"/>
    <w:basedOn w:val="Domylnaczcionkaakapitu"/>
    <w:rsid w:val="00D424C8"/>
  </w:style>
  <w:style w:type="paragraph" w:styleId="Tekstdymka">
    <w:name w:val="Balloon Text"/>
    <w:basedOn w:val="Normalny"/>
    <w:link w:val="TekstdymkaZnak"/>
    <w:uiPriority w:val="99"/>
    <w:semiHidden/>
    <w:unhideWhenUsed/>
    <w:rsid w:val="009B4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4CCB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semiHidden/>
    <w:rsid w:val="003615A6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semiHidden/>
    <w:rsid w:val="003615A6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3615A6"/>
    <w:pPr>
      <w:jc w:val="both"/>
    </w:pPr>
    <w:rPr>
      <w:lang w:val="x-none" w:eastAsia="en-US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15A6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ytu">
    <w:name w:val="Title"/>
    <w:basedOn w:val="Normalny"/>
    <w:link w:val="TytuZnak"/>
    <w:qFormat/>
    <w:rsid w:val="003615A6"/>
    <w:pPr>
      <w:jc w:val="center"/>
    </w:pPr>
    <w:rPr>
      <w:sz w:val="32"/>
      <w:lang w:eastAsia="en-US"/>
    </w:rPr>
  </w:style>
  <w:style w:type="character" w:customStyle="1" w:styleId="TytuZnak">
    <w:name w:val="Tytuł Znak"/>
    <w:basedOn w:val="Domylnaczcionkaakapitu"/>
    <w:link w:val="Tytu"/>
    <w:rsid w:val="003615A6"/>
    <w:rPr>
      <w:rFonts w:ascii="Times New Roman" w:eastAsia="Times New Roman" w:hAnsi="Times New Roman" w:cs="Times New Roman"/>
      <w:sz w:val="32"/>
      <w:szCs w:val="24"/>
    </w:rPr>
  </w:style>
  <w:style w:type="character" w:customStyle="1" w:styleId="article1">
    <w:name w:val="article1"/>
    <w:rsid w:val="003615A6"/>
    <w:rPr>
      <w:rFonts w:ascii="Verdana" w:hAnsi="Verdana" w:hint="default"/>
      <w:spacing w:val="7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15A6"/>
    <w:rPr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15A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615A6"/>
    <w:rPr>
      <w:vertAlign w:val="superscript"/>
    </w:rPr>
  </w:style>
  <w:style w:type="paragraph" w:customStyle="1" w:styleId="Default">
    <w:name w:val="Default"/>
    <w:rsid w:val="003615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615A6"/>
    <w:rPr>
      <w:color w:val="0000FF"/>
      <w:u w:val="single"/>
    </w:rPr>
  </w:style>
  <w:style w:type="character" w:customStyle="1" w:styleId="Data1">
    <w:name w:val="Data1"/>
    <w:basedOn w:val="Domylnaczcionkaakapitu"/>
    <w:rsid w:val="00361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59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otmoney.pl/artykul/otylosc-kosztuje-nas-grube-miliardy-27469/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6032</Words>
  <Characters>36198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Pawlak</dc:creator>
  <cp:lastModifiedBy>Ewa A. Genert</cp:lastModifiedBy>
  <cp:revision>2</cp:revision>
  <cp:lastPrinted>2013-06-11T08:59:00Z</cp:lastPrinted>
  <dcterms:created xsi:type="dcterms:W3CDTF">2013-08-28T11:06:00Z</dcterms:created>
  <dcterms:modified xsi:type="dcterms:W3CDTF">2013-08-28T11:06:00Z</dcterms:modified>
</cp:coreProperties>
</file>