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E4" w:rsidRPr="004961F8" w:rsidRDefault="009270E4" w:rsidP="004961F8">
      <w:pPr>
        <w:spacing w:after="24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4961F8">
        <w:rPr>
          <w:rFonts w:ascii="Times New Roman" w:hAnsi="Times New Roman" w:cs="Times New Roman"/>
          <w:caps/>
          <w:sz w:val="24"/>
          <w:szCs w:val="24"/>
        </w:rPr>
        <w:t>Uzasadnienie</w:t>
      </w:r>
    </w:p>
    <w:p w:rsidR="00517E65" w:rsidRDefault="009270E4" w:rsidP="009C3D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celem projektowanej ustawy</w:t>
      </w:r>
      <w:r w:rsidRPr="009270E4">
        <w:t xml:space="preserve"> </w:t>
      </w:r>
      <w:r w:rsidRPr="009270E4">
        <w:rPr>
          <w:rFonts w:ascii="Times New Roman" w:hAnsi="Times New Roman" w:cs="Times New Roman"/>
          <w:sz w:val="24"/>
          <w:szCs w:val="24"/>
        </w:rPr>
        <w:t>o zmianie ustawy o świadczeniach opieki zdrowotnej finan</w:t>
      </w:r>
      <w:r>
        <w:rPr>
          <w:rFonts w:ascii="Times New Roman" w:hAnsi="Times New Roman" w:cs="Times New Roman"/>
          <w:sz w:val="24"/>
          <w:szCs w:val="24"/>
        </w:rPr>
        <w:t xml:space="preserve">sowanych ze środków publicznych jest </w:t>
      </w:r>
      <w:r w:rsidR="00B77F5E">
        <w:rPr>
          <w:rFonts w:ascii="Times New Roman" w:hAnsi="Times New Roman" w:cs="Times New Roman"/>
          <w:sz w:val="24"/>
          <w:szCs w:val="24"/>
        </w:rPr>
        <w:t>pełna realizacja norm konstytucyjnych – art. 68 ust. 1 i 2 Konstytucji RP, które zobowiązują władze publiczne do zapewnienia obywatelom, niezależnie od ich sytuacji materialnej, równego dostępu do świadczeń opieki zdrowotnej finansowanych ze środków public</w:t>
      </w:r>
      <w:r w:rsidR="00E01768">
        <w:rPr>
          <w:rFonts w:ascii="Times New Roman" w:hAnsi="Times New Roman" w:cs="Times New Roman"/>
          <w:sz w:val="24"/>
          <w:szCs w:val="24"/>
        </w:rPr>
        <w:t>znych przez zwiększenie finansowania ochrony zdrowia.</w:t>
      </w:r>
    </w:p>
    <w:p w:rsidR="009C0386" w:rsidRPr="00F45E27" w:rsidRDefault="00E01768" w:rsidP="00F45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10EE7">
        <w:rPr>
          <w:rFonts w:ascii="Times New Roman" w:hAnsi="Times New Roman" w:cs="Times New Roman"/>
          <w:sz w:val="24"/>
          <w:szCs w:val="24"/>
        </w:rPr>
        <w:t>ozwiązaniem</w:t>
      </w:r>
      <w:r w:rsidR="009C0386">
        <w:rPr>
          <w:rFonts w:ascii="Times New Roman" w:hAnsi="Times New Roman" w:cs="Times New Roman"/>
          <w:sz w:val="24"/>
          <w:szCs w:val="24"/>
        </w:rPr>
        <w:t xml:space="preserve"> </w:t>
      </w:r>
      <w:r w:rsidR="00BB1647">
        <w:rPr>
          <w:rFonts w:ascii="Times New Roman" w:hAnsi="Times New Roman" w:cs="Times New Roman"/>
          <w:sz w:val="24"/>
          <w:szCs w:val="24"/>
        </w:rPr>
        <w:t xml:space="preserve">służącym realizacji </w:t>
      </w:r>
      <w:r w:rsidR="009C0386">
        <w:rPr>
          <w:rFonts w:ascii="Times New Roman" w:hAnsi="Times New Roman" w:cs="Times New Roman"/>
          <w:sz w:val="24"/>
          <w:szCs w:val="24"/>
        </w:rPr>
        <w:t xml:space="preserve">powyżej </w:t>
      </w:r>
      <w:r w:rsidR="00BB1647">
        <w:rPr>
          <w:rFonts w:ascii="Times New Roman" w:hAnsi="Times New Roman" w:cs="Times New Roman"/>
          <w:sz w:val="24"/>
          <w:szCs w:val="24"/>
        </w:rPr>
        <w:t>wskazanych norm konstytucyjnych</w:t>
      </w:r>
      <w:r w:rsidR="00F45E27">
        <w:rPr>
          <w:rFonts w:ascii="Times New Roman" w:hAnsi="Times New Roman" w:cs="Times New Roman"/>
          <w:sz w:val="24"/>
          <w:szCs w:val="24"/>
        </w:rPr>
        <w:t xml:space="preserve"> są </w:t>
      </w:r>
      <w:r w:rsidR="009C0386">
        <w:rPr>
          <w:rFonts w:ascii="Times New Roman" w:hAnsi="Times New Roman" w:cs="Times New Roman"/>
          <w:sz w:val="24"/>
          <w:szCs w:val="24"/>
        </w:rPr>
        <w:t>regulacje wprowadzane w nowo</w:t>
      </w:r>
      <w:r w:rsidR="001644B5">
        <w:rPr>
          <w:rFonts w:ascii="Times New Roman" w:hAnsi="Times New Roman" w:cs="Times New Roman"/>
          <w:sz w:val="24"/>
          <w:szCs w:val="24"/>
        </w:rPr>
        <w:t xml:space="preserve"> </w:t>
      </w:r>
      <w:r w:rsidR="009C0386">
        <w:rPr>
          <w:rFonts w:ascii="Times New Roman" w:hAnsi="Times New Roman" w:cs="Times New Roman"/>
          <w:sz w:val="24"/>
          <w:szCs w:val="24"/>
        </w:rPr>
        <w:t xml:space="preserve">dodawanych </w:t>
      </w:r>
      <w:r w:rsidR="00BB1647">
        <w:rPr>
          <w:rFonts w:ascii="Times New Roman" w:hAnsi="Times New Roman" w:cs="Times New Roman"/>
          <w:sz w:val="24"/>
          <w:szCs w:val="24"/>
        </w:rPr>
        <w:t>art. 131</w:t>
      </w:r>
      <w:r w:rsidR="001644B5">
        <w:rPr>
          <w:rFonts w:ascii="Times New Roman" w:hAnsi="Times New Roman" w:cs="Times New Roman"/>
          <w:sz w:val="24"/>
          <w:szCs w:val="24"/>
        </w:rPr>
        <w:t>c</w:t>
      </w:r>
      <w:r w:rsidR="00BB1647">
        <w:rPr>
          <w:rFonts w:ascii="Times New Roman" w:hAnsi="Times New Roman" w:cs="Times New Roman"/>
          <w:sz w:val="24"/>
          <w:szCs w:val="24"/>
        </w:rPr>
        <w:t xml:space="preserve"> i art. 131</w:t>
      </w:r>
      <w:r w:rsidR="001644B5">
        <w:rPr>
          <w:rFonts w:ascii="Times New Roman" w:hAnsi="Times New Roman" w:cs="Times New Roman"/>
          <w:sz w:val="24"/>
          <w:szCs w:val="24"/>
        </w:rPr>
        <w:t>d</w:t>
      </w:r>
      <w:r w:rsidR="00BB1647">
        <w:rPr>
          <w:rFonts w:ascii="Times New Roman" w:hAnsi="Times New Roman" w:cs="Times New Roman"/>
          <w:sz w:val="24"/>
          <w:szCs w:val="24"/>
        </w:rPr>
        <w:t xml:space="preserve"> </w:t>
      </w:r>
      <w:r w:rsidR="00810EE7">
        <w:rPr>
          <w:rFonts w:ascii="Times New Roman" w:hAnsi="Times New Roman" w:cs="Times New Roman"/>
          <w:sz w:val="24"/>
          <w:szCs w:val="24"/>
        </w:rPr>
        <w:t xml:space="preserve">do </w:t>
      </w:r>
      <w:r w:rsidR="009C0386">
        <w:rPr>
          <w:rFonts w:ascii="Times New Roman" w:hAnsi="Times New Roman" w:cs="Times New Roman"/>
          <w:sz w:val="24"/>
          <w:szCs w:val="24"/>
        </w:rPr>
        <w:t>ustawy</w:t>
      </w:r>
      <w:r w:rsidR="004961F8">
        <w:rPr>
          <w:rFonts w:ascii="Times New Roman" w:hAnsi="Times New Roman" w:cs="Times New Roman"/>
          <w:sz w:val="24"/>
          <w:szCs w:val="24"/>
        </w:rPr>
        <w:t xml:space="preserve"> z dnia 27 sierpnia 2004 r. o </w:t>
      </w:r>
      <w:r w:rsidR="009C0386" w:rsidRPr="00140880">
        <w:rPr>
          <w:rFonts w:ascii="Times New Roman" w:hAnsi="Times New Roman" w:cs="Times New Roman"/>
          <w:sz w:val="24"/>
          <w:szCs w:val="24"/>
        </w:rPr>
        <w:t>świadczeniach opieki zdrowotnej finansowanych ze środków</w:t>
      </w:r>
      <w:r w:rsidR="001644B5">
        <w:rPr>
          <w:rFonts w:ascii="Times New Roman" w:hAnsi="Times New Roman" w:cs="Times New Roman"/>
          <w:sz w:val="24"/>
          <w:szCs w:val="24"/>
        </w:rPr>
        <w:t xml:space="preserve"> publicznych</w:t>
      </w:r>
      <w:r w:rsidR="009C0386" w:rsidRPr="00140880">
        <w:rPr>
          <w:rFonts w:ascii="Times New Roman" w:hAnsi="Times New Roman" w:cs="Times New Roman"/>
          <w:sz w:val="24"/>
          <w:szCs w:val="24"/>
        </w:rPr>
        <w:t xml:space="preserve"> </w:t>
      </w:r>
      <w:r w:rsidR="00017975" w:rsidRPr="00017975">
        <w:rPr>
          <w:rFonts w:ascii="Times New Roman" w:hAnsi="Times New Roman" w:cs="Times New Roman"/>
          <w:sz w:val="24"/>
          <w:szCs w:val="24"/>
        </w:rPr>
        <w:t>(Dz. U. z 2017 r. poz. 1938)</w:t>
      </w:r>
      <w:r w:rsidR="0057405E">
        <w:rPr>
          <w:rFonts w:ascii="Times New Roman" w:hAnsi="Times New Roman" w:cs="Times New Roman"/>
          <w:sz w:val="24"/>
          <w:szCs w:val="24"/>
        </w:rPr>
        <w:t xml:space="preserve">. </w:t>
      </w:r>
      <w:r w:rsidR="00F45E27">
        <w:rPr>
          <w:rFonts w:ascii="Times New Roman" w:hAnsi="Times New Roman" w:cs="Times New Roman"/>
          <w:sz w:val="24"/>
          <w:szCs w:val="24"/>
        </w:rPr>
        <w:t>Zgodnie z</w:t>
      </w:r>
      <w:r w:rsidR="004961F8">
        <w:rPr>
          <w:rFonts w:ascii="Times New Roman" w:hAnsi="Times New Roman" w:cs="Times New Roman"/>
          <w:sz w:val="24"/>
          <w:szCs w:val="24"/>
        </w:rPr>
        <w:t xml:space="preserve"> </w:t>
      </w:r>
      <w:r w:rsidR="00BB1647">
        <w:rPr>
          <w:rFonts w:ascii="Times New Roman" w:hAnsi="Times New Roman" w:cs="Times New Roman"/>
          <w:sz w:val="24"/>
          <w:szCs w:val="24"/>
        </w:rPr>
        <w:t xml:space="preserve">ich brzmieniem, </w:t>
      </w:r>
      <w:r w:rsidR="009C0386">
        <w:rPr>
          <w:rFonts w:ascii="Times New Roman" w:hAnsi="Times New Roman" w:cs="Times New Roman"/>
          <w:sz w:val="24"/>
          <w:szCs w:val="24"/>
        </w:rPr>
        <w:t xml:space="preserve">na </w:t>
      </w:r>
      <w:r w:rsidR="009C0386" w:rsidRPr="00140880">
        <w:rPr>
          <w:rFonts w:ascii="Times New Roman" w:hAnsi="Times New Roman" w:cs="Times New Roman"/>
          <w:sz w:val="24"/>
          <w:szCs w:val="24"/>
        </w:rPr>
        <w:t xml:space="preserve">finansowanie ochrony zdrowia </w:t>
      </w:r>
      <w:r w:rsidR="009C0386">
        <w:rPr>
          <w:rFonts w:ascii="Times New Roman" w:hAnsi="Times New Roman" w:cs="Times New Roman"/>
          <w:sz w:val="24"/>
          <w:szCs w:val="24"/>
        </w:rPr>
        <w:t>przeznaczać</w:t>
      </w:r>
      <w:r w:rsidR="009C0386" w:rsidRPr="00140880">
        <w:rPr>
          <w:rFonts w:ascii="Times New Roman" w:hAnsi="Times New Roman" w:cs="Times New Roman"/>
          <w:sz w:val="24"/>
          <w:szCs w:val="24"/>
        </w:rPr>
        <w:t xml:space="preserve"> się </w:t>
      </w:r>
      <w:r w:rsidR="009C0386">
        <w:rPr>
          <w:rFonts w:ascii="Times New Roman" w:hAnsi="Times New Roman" w:cs="Times New Roman"/>
          <w:sz w:val="24"/>
          <w:szCs w:val="24"/>
        </w:rPr>
        <w:t xml:space="preserve">będzie </w:t>
      </w:r>
      <w:r w:rsidR="009C0386" w:rsidRPr="00140880">
        <w:rPr>
          <w:rFonts w:ascii="Times New Roman" w:hAnsi="Times New Roman" w:cs="Times New Roman"/>
          <w:sz w:val="24"/>
          <w:szCs w:val="24"/>
        </w:rPr>
        <w:t xml:space="preserve">corocznie środki finansowe w wysokości nie niższej niż 6% </w:t>
      </w:r>
      <w:r w:rsidR="001644B5">
        <w:rPr>
          <w:rFonts w:ascii="Times New Roman" w:hAnsi="Times New Roman" w:cs="Times New Roman"/>
          <w:sz w:val="24"/>
          <w:szCs w:val="24"/>
        </w:rPr>
        <w:t>p</w:t>
      </w:r>
      <w:r w:rsidR="009C0386" w:rsidRPr="00140880">
        <w:rPr>
          <w:rFonts w:ascii="Times New Roman" w:hAnsi="Times New Roman" w:cs="Times New Roman"/>
          <w:sz w:val="24"/>
          <w:szCs w:val="24"/>
        </w:rPr>
        <w:t xml:space="preserve">roduktu </w:t>
      </w:r>
      <w:r w:rsidR="001644B5">
        <w:rPr>
          <w:rFonts w:ascii="Times New Roman" w:hAnsi="Times New Roman" w:cs="Times New Roman"/>
          <w:sz w:val="24"/>
          <w:szCs w:val="24"/>
        </w:rPr>
        <w:t>k</w:t>
      </w:r>
      <w:r w:rsidR="009C0386" w:rsidRPr="00140880">
        <w:rPr>
          <w:rFonts w:ascii="Times New Roman" w:hAnsi="Times New Roman" w:cs="Times New Roman"/>
          <w:sz w:val="24"/>
          <w:szCs w:val="24"/>
        </w:rPr>
        <w:t xml:space="preserve">rajowego </w:t>
      </w:r>
      <w:r w:rsidR="001644B5">
        <w:rPr>
          <w:rFonts w:ascii="Times New Roman" w:hAnsi="Times New Roman" w:cs="Times New Roman"/>
          <w:sz w:val="24"/>
          <w:szCs w:val="24"/>
        </w:rPr>
        <w:t>b</w:t>
      </w:r>
      <w:r w:rsidR="009C0386" w:rsidRPr="00140880">
        <w:rPr>
          <w:rFonts w:ascii="Times New Roman" w:hAnsi="Times New Roman" w:cs="Times New Roman"/>
          <w:sz w:val="24"/>
          <w:szCs w:val="24"/>
        </w:rPr>
        <w:t>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68">
        <w:rPr>
          <w:rFonts w:ascii="Times New Roman" w:hAnsi="Times New Roman" w:cs="Times New Roman"/>
          <w:sz w:val="24"/>
          <w:szCs w:val="24"/>
        </w:rPr>
        <w:t>ustala</w:t>
      </w:r>
      <w:r>
        <w:rPr>
          <w:rFonts w:ascii="Times New Roman" w:hAnsi="Times New Roman" w:cs="Times New Roman"/>
          <w:sz w:val="24"/>
          <w:szCs w:val="24"/>
        </w:rPr>
        <w:t xml:space="preserve">nego </w:t>
      </w:r>
      <w:r w:rsidRPr="00E01768">
        <w:rPr>
          <w:rFonts w:ascii="Times New Roman" w:hAnsi="Times New Roman" w:cs="Times New Roman"/>
          <w:sz w:val="24"/>
          <w:szCs w:val="24"/>
        </w:rPr>
        <w:t>w oparciu o wartość określoną na podstawie obwieszczenia Prezesa Głównego Urzędu Statystycznego na podstawie art. 5 ustawy z</w:t>
      </w:r>
      <w:r w:rsidR="001644B5">
        <w:rPr>
          <w:rFonts w:ascii="Times New Roman" w:hAnsi="Times New Roman" w:cs="Times New Roman"/>
          <w:sz w:val="24"/>
          <w:szCs w:val="24"/>
        </w:rPr>
        <w:t xml:space="preserve"> dnia 26 października 2000 r. o </w:t>
      </w:r>
      <w:r w:rsidRPr="00E01768">
        <w:rPr>
          <w:rFonts w:ascii="Times New Roman" w:hAnsi="Times New Roman" w:cs="Times New Roman"/>
          <w:sz w:val="24"/>
          <w:szCs w:val="24"/>
        </w:rPr>
        <w:t>sposobie obliczania wartości rocznego produktu krajowego brutto (Dz. U. poz.</w:t>
      </w:r>
      <w:r w:rsidR="001644B5">
        <w:rPr>
          <w:rFonts w:ascii="Times New Roman" w:hAnsi="Times New Roman" w:cs="Times New Roman"/>
          <w:sz w:val="24"/>
          <w:szCs w:val="24"/>
        </w:rPr>
        <w:t xml:space="preserve"> 1188 oraz z </w:t>
      </w:r>
      <w:r w:rsidR="004961F8">
        <w:rPr>
          <w:rFonts w:ascii="Times New Roman" w:hAnsi="Times New Roman" w:cs="Times New Roman"/>
          <w:sz w:val="24"/>
          <w:szCs w:val="24"/>
        </w:rPr>
        <w:t>2009 r. poz. </w:t>
      </w:r>
      <w:r>
        <w:rPr>
          <w:rFonts w:ascii="Times New Roman" w:hAnsi="Times New Roman" w:cs="Times New Roman"/>
          <w:sz w:val="24"/>
          <w:szCs w:val="24"/>
        </w:rPr>
        <w:t xml:space="preserve">817), która </w:t>
      </w:r>
      <w:r w:rsidRPr="00E01768">
        <w:rPr>
          <w:rFonts w:ascii="Times New Roman" w:hAnsi="Times New Roman" w:cs="Times New Roman"/>
          <w:sz w:val="24"/>
          <w:szCs w:val="24"/>
        </w:rPr>
        <w:t>w trakcie danego</w:t>
      </w:r>
      <w:r>
        <w:rPr>
          <w:rFonts w:ascii="Times New Roman" w:hAnsi="Times New Roman" w:cs="Times New Roman"/>
          <w:sz w:val="24"/>
          <w:szCs w:val="24"/>
        </w:rPr>
        <w:t xml:space="preserve"> roku może zostać skorygowana</w:t>
      </w:r>
      <w:r w:rsidR="009C0386" w:rsidRPr="00140880">
        <w:rPr>
          <w:rFonts w:ascii="Times New Roman" w:hAnsi="Times New Roman" w:cs="Times New Roman"/>
          <w:sz w:val="24"/>
          <w:szCs w:val="24"/>
        </w:rPr>
        <w:t>, z zastrzeżeniem</w:t>
      </w:r>
      <w:r w:rsidR="00BB1647">
        <w:rPr>
          <w:rFonts w:ascii="Times New Roman" w:hAnsi="Times New Roman" w:cs="Times New Roman"/>
          <w:sz w:val="24"/>
          <w:szCs w:val="24"/>
        </w:rPr>
        <w:t>,</w:t>
      </w:r>
      <w:r w:rsidR="009C0386" w:rsidRPr="00140880">
        <w:rPr>
          <w:rFonts w:ascii="Times New Roman" w:hAnsi="Times New Roman" w:cs="Times New Roman"/>
          <w:sz w:val="24"/>
          <w:szCs w:val="24"/>
        </w:rPr>
        <w:t xml:space="preserve"> iż wielkość środków finansowych przeznaczonych na finansowanie ochrony </w:t>
      </w:r>
      <w:r w:rsidR="009C0386" w:rsidRPr="00F45E27">
        <w:rPr>
          <w:rFonts w:ascii="Times New Roman" w:hAnsi="Times New Roman" w:cs="Times New Roman"/>
          <w:sz w:val="24"/>
          <w:szCs w:val="24"/>
        </w:rPr>
        <w:t xml:space="preserve">zdrowia </w:t>
      </w:r>
      <w:r w:rsidR="007967F9">
        <w:rPr>
          <w:rFonts w:ascii="Times New Roman" w:hAnsi="Times New Roman" w:cs="Times New Roman"/>
          <w:sz w:val="24"/>
          <w:szCs w:val="24"/>
        </w:rPr>
        <w:t>w latach 2018–2024</w:t>
      </w:r>
      <w:r w:rsidR="009C0386" w:rsidRPr="00F45E27">
        <w:rPr>
          <w:rFonts w:ascii="Times New Roman" w:hAnsi="Times New Roman" w:cs="Times New Roman"/>
          <w:sz w:val="24"/>
          <w:szCs w:val="24"/>
        </w:rPr>
        <w:t xml:space="preserve"> nie może być mniejsza niż:</w:t>
      </w:r>
    </w:p>
    <w:p w:rsidR="009C0386" w:rsidRPr="004961F8" w:rsidRDefault="003D687C" w:rsidP="004961F8">
      <w:pPr>
        <w:pStyle w:val="Akapitzlist"/>
        <w:numPr>
          <w:ilvl w:val="0"/>
          <w:numId w:val="1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4961F8">
        <w:rPr>
          <w:rFonts w:ascii="Times New Roman" w:hAnsi="Times New Roman" w:cs="Times New Roman"/>
          <w:sz w:val="24"/>
          <w:szCs w:val="24"/>
        </w:rPr>
        <w:t>4,67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% </w:t>
      </w:r>
      <w:r w:rsidR="001644B5">
        <w:rPr>
          <w:rFonts w:ascii="Times New Roman" w:hAnsi="Times New Roman" w:cs="Times New Roman"/>
          <w:sz w:val="24"/>
          <w:szCs w:val="24"/>
        </w:rPr>
        <w:t>p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roduktu </w:t>
      </w:r>
      <w:r w:rsidR="001644B5">
        <w:rPr>
          <w:rFonts w:ascii="Times New Roman" w:hAnsi="Times New Roman" w:cs="Times New Roman"/>
          <w:sz w:val="24"/>
          <w:szCs w:val="24"/>
        </w:rPr>
        <w:t>k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rajowego </w:t>
      </w:r>
      <w:r w:rsidR="001644B5">
        <w:rPr>
          <w:rFonts w:ascii="Times New Roman" w:hAnsi="Times New Roman" w:cs="Times New Roman"/>
          <w:sz w:val="24"/>
          <w:szCs w:val="24"/>
        </w:rPr>
        <w:t>b</w:t>
      </w:r>
      <w:r w:rsidR="009C0386" w:rsidRPr="004961F8">
        <w:rPr>
          <w:rFonts w:ascii="Times New Roman" w:hAnsi="Times New Roman" w:cs="Times New Roman"/>
          <w:sz w:val="24"/>
          <w:szCs w:val="24"/>
        </w:rPr>
        <w:t>rutto w 2018 r.;</w:t>
      </w:r>
    </w:p>
    <w:p w:rsidR="009C0386" w:rsidRPr="004961F8" w:rsidRDefault="00095F4C" w:rsidP="004961F8">
      <w:pPr>
        <w:pStyle w:val="Akapitzlist"/>
        <w:numPr>
          <w:ilvl w:val="0"/>
          <w:numId w:val="1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4961F8">
        <w:rPr>
          <w:rFonts w:ascii="Times New Roman" w:hAnsi="Times New Roman" w:cs="Times New Roman"/>
          <w:sz w:val="24"/>
          <w:szCs w:val="24"/>
        </w:rPr>
        <w:t>4,8</w:t>
      </w:r>
      <w:r w:rsidR="007967F9" w:rsidRPr="004961F8">
        <w:rPr>
          <w:rFonts w:ascii="Times New Roman" w:hAnsi="Times New Roman" w:cs="Times New Roman"/>
          <w:sz w:val="24"/>
          <w:szCs w:val="24"/>
        </w:rPr>
        <w:t>6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% </w:t>
      </w:r>
      <w:r w:rsidR="001644B5">
        <w:rPr>
          <w:rFonts w:ascii="Times New Roman" w:hAnsi="Times New Roman" w:cs="Times New Roman"/>
          <w:sz w:val="24"/>
          <w:szCs w:val="24"/>
        </w:rPr>
        <w:t>p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roduktu </w:t>
      </w:r>
      <w:r w:rsidR="001644B5">
        <w:rPr>
          <w:rFonts w:ascii="Times New Roman" w:hAnsi="Times New Roman" w:cs="Times New Roman"/>
          <w:sz w:val="24"/>
          <w:szCs w:val="24"/>
        </w:rPr>
        <w:t>k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rajowego </w:t>
      </w:r>
      <w:r w:rsidR="001644B5">
        <w:rPr>
          <w:rFonts w:ascii="Times New Roman" w:hAnsi="Times New Roman" w:cs="Times New Roman"/>
          <w:sz w:val="24"/>
          <w:szCs w:val="24"/>
        </w:rPr>
        <w:t>b</w:t>
      </w:r>
      <w:r w:rsidR="009C0386" w:rsidRPr="004961F8">
        <w:rPr>
          <w:rFonts w:ascii="Times New Roman" w:hAnsi="Times New Roman" w:cs="Times New Roman"/>
          <w:sz w:val="24"/>
          <w:szCs w:val="24"/>
        </w:rPr>
        <w:t>rutto w 2019 r.;</w:t>
      </w:r>
    </w:p>
    <w:p w:rsidR="009C0386" w:rsidRPr="004961F8" w:rsidRDefault="007967F9" w:rsidP="004961F8">
      <w:pPr>
        <w:pStyle w:val="Akapitzlist"/>
        <w:numPr>
          <w:ilvl w:val="0"/>
          <w:numId w:val="1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4961F8">
        <w:rPr>
          <w:rFonts w:ascii="Times New Roman" w:hAnsi="Times New Roman" w:cs="Times New Roman"/>
          <w:sz w:val="24"/>
          <w:szCs w:val="24"/>
        </w:rPr>
        <w:t>5,0</w:t>
      </w:r>
      <w:r w:rsidR="003D687C" w:rsidRPr="004961F8">
        <w:rPr>
          <w:rFonts w:ascii="Times New Roman" w:hAnsi="Times New Roman" w:cs="Times New Roman"/>
          <w:sz w:val="24"/>
          <w:szCs w:val="24"/>
        </w:rPr>
        <w:t>3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% </w:t>
      </w:r>
      <w:r w:rsidR="001644B5">
        <w:rPr>
          <w:rFonts w:ascii="Times New Roman" w:hAnsi="Times New Roman" w:cs="Times New Roman"/>
          <w:sz w:val="24"/>
          <w:szCs w:val="24"/>
        </w:rPr>
        <w:t>p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roduktu </w:t>
      </w:r>
      <w:r w:rsidR="001644B5">
        <w:rPr>
          <w:rFonts w:ascii="Times New Roman" w:hAnsi="Times New Roman" w:cs="Times New Roman"/>
          <w:sz w:val="24"/>
          <w:szCs w:val="24"/>
        </w:rPr>
        <w:t>k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rajowego </w:t>
      </w:r>
      <w:r w:rsidR="001644B5">
        <w:rPr>
          <w:rFonts w:ascii="Times New Roman" w:hAnsi="Times New Roman" w:cs="Times New Roman"/>
          <w:sz w:val="24"/>
          <w:szCs w:val="24"/>
        </w:rPr>
        <w:t>b</w:t>
      </w:r>
      <w:r w:rsidR="009C0386" w:rsidRPr="004961F8">
        <w:rPr>
          <w:rFonts w:ascii="Times New Roman" w:hAnsi="Times New Roman" w:cs="Times New Roman"/>
          <w:sz w:val="24"/>
          <w:szCs w:val="24"/>
        </w:rPr>
        <w:t>rutto w 2020 r.;</w:t>
      </w:r>
    </w:p>
    <w:p w:rsidR="009C0386" w:rsidRPr="004961F8" w:rsidRDefault="007967F9" w:rsidP="004961F8">
      <w:pPr>
        <w:pStyle w:val="Akapitzlist"/>
        <w:numPr>
          <w:ilvl w:val="0"/>
          <w:numId w:val="1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4961F8">
        <w:rPr>
          <w:rFonts w:ascii="Times New Roman" w:hAnsi="Times New Roman" w:cs="Times New Roman"/>
          <w:sz w:val="24"/>
          <w:szCs w:val="24"/>
        </w:rPr>
        <w:t>5,22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% </w:t>
      </w:r>
      <w:r w:rsidR="001644B5">
        <w:rPr>
          <w:rFonts w:ascii="Times New Roman" w:hAnsi="Times New Roman" w:cs="Times New Roman"/>
          <w:sz w:val="24"/>
          <w:szCs w:val="24"/>
        </w:rPr>
        <w:t>p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roduktu </w:t>
      </w:r>
      <w:r w:rsidR="001644B5">
        <w:rPr>
          <w:rFonts w:ascii="Times New Roman" w:hAnsi="Times New Roman" w:cs="Times New Roman"/>
          <w:sz w:val="24"/>
          <w:szCs w:val="24"/>
        </w:rPr>
        <w:t>k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rajowego </w:t>
      </w:r>
      <w:r w:rsidR="001644B5">
        <w:rPr>
          <w:rFonts w:ascii="Times New Roman" w:hAnsi="Times New Roman" w:cs="Times New Roman"/>
          <w:sz w:val="24"/>
          <w:szCs w:val="24"/>
        </w:rPr>
        <w:t>b</w:t>
      </w:r>
      <w:r w:rsidR="009C0386" w:rsidRPr="004961F8">
        <w:rPr>
          <w:rFonts w:ascii="Times New Roman" w:hAnsi="Times New Roman" w:cs="Times New Roman"/>
          <w:sz w:val="24"/>
          <w:szCs w:val="24"/>
        </w:rPr>
        <w:t>rutto w 2021 r.;</w:t>
      </w:r>
    </w:p>
    <w:p w:rsidR="009C0386" w:rsidRPr="004961F8" w:rsidRDefault="007967F9" w:rsidP="004961F8">
      <w:pPr>
        <w:pStyle w:val="Akapitzlist"/>
        <w:numPr>
          <w:ilvl w:val="0"/>
          <w:numId w:val="1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4961F8">
        <w:rPr>
          <w:rFonts w:ascii="Times New Roman" w:hAnsi="Times New Roman" w:cs="Times New Roman"/>
          <w:sz w:val="24"/>
          <w:szCs w:val="24"/>
        </w:rPr>
        <w:t>5,41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% </w:t>
      </w:r>
      <w:r w:rsidR="001644B5">
        <w:rPr>
          <w:rFonts w:ascii="Times New Roman" w:hAnsi="Times New Roman" w:cs="Times New Roman"/>
          <w:sz w:val="24"/>
          <w:szCs w:val="24"/>
        </w:rPr>
        <w:t>p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roduktu </w:t>
      </w:r>
      <w:r w:rsidR="001644B5">
        <w:rPr>
          <w:rFonts w:ascii="Times New Roman" w:hAnsi="Times New Roman" w:cs="Times New Roman"/>
          <w:sz w:val="24"/>
          <w:szCs w:val="24"/>
        </w:rPr>
        <w:t>k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rajowego </w:t>
      </w:r>
      <w:r w:rsidR="001644B5">
        <w:rPr>
          <w:rFonts w:ascii="Times New Roman" w:hAnsi="Times New Roman" w:cs="Times New Roman"/>
          <w:sz w:val="24"/>
          <w:szCs w:val="24"/>
        </w:rPr>
        <w:t>b</w:t>
      </w:r>
      <w:r w:rsidR="009C0386" w:rsidRPr="004961F8">
        <w:rPr>
          <w:rFonts w:ascii="Times New Roman" w:hAnsi="Times New Roman" w:cs="Times New Roman"/>
          <w:sz w:val="24"/>
          <w:szCs w:val="24"/>
        </w:rPr>
        <w:t xml:space="preserve">rutto </w:t>
      </w:r>
      <w:r w:rsidR="00E01768" w:rsidRPr="004961F8">
        <w:rPr>
          <w:rFonts w:ascii="Times New Roman" w:hAnsi="Times New Roman" w:cs="Times New Roman"/>
          <w:sz w:val="24"/>
          <w:szCs w:val="24"/>
        </w:rPr>
        <w:t>w 2022 r</w:t>
      </w:r>
      <w:r w:rsidR="009C0386" w:rsidRPr="004961F8">
        <w:rPr>
          <w:rFonts w:ascii="Times New Roman" w:hAnsi="Times New Roman" w:cs="Times New Roman"/>
          <w:sz w:val="24"/>
          <w:szCs w:val="24"/>
        </w:rPr>
        <w:t>.</w:t>
      </w:r>
      <w:r w:rsidRPr="004961F8">
        <w:rPr>
          <w:rFonts w:ascii="Times New Roman" w:hAnsi="Times New Roman" w:cs="Times New Roman"/>
          <w:sz w:val="24"/>
          <w:szCs w:val="24"/>
        </w:rPr>
        <w:t>;</w:t>
      </w:r>
    </w:p>
    <w:p w:rsidR="007967F9" w:rsidRPr="004961F8" w:rsidRDefault="007967F9" w:rsidP="004961F8">
      <w:pPr>
        <w:pStyle w:val="Akapitzlist"/>
        <w:numPr>
          <w:ilvl w:val="0"/>
          <w:numId w:val="1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4961F8">
        <w:rPr>
          <w:rFonts w:ascii="Times New Roman" w:hAnsi="Times New Roman" w:cs="Times New Roman"/>
          <w:sz w:val="24"/>
          <w:szCs w:val="24"/>
        </w:rPr>
        <w:t xml:space="preserve">5,60% </w:t>
      </w:r>
      <w:r w:rsidR="001644B5">
        <w:rPr>
          <w:rFonts w:ascii="Times New Roman" w:hAnsi="Times New Roman" w:cs="Times New Roman"/>
          <w:sz w:val="24"/>
          <w:szCs w:val="24"/>
        </w:rPr>
        <w:t>p</w:t>
      </w:r>
      <w:r w:rsidRPr="004961F8">
        <w:rPr>
          <w:rFonts w:ascii="Times New Roman" w:hAnsi="Times New Roman" w:cs="Times New Roman"/>
          <w:sz w:val="24"/>
          <w:szCs w:val="24"/>
        </w:rPr>
        <w:t xml:space="preserve">roduktu </w:t>
      </w:r>
      <w:r w:rsidR="001644B5">
        <w:rPr>
          <w:rFonts w:ascii="Times New Roman" w:hAnsi="Times New Roman" w:cs="Times New Roman"/>
          <w:sz w:val="24"/>
          <w:szCs w:val="24"/>
        </w:rPr>
        <w:t>k</w:t>
      </w:r>
      <w:r w:rsidRPr="004961F8">
        <w:rPr>
          <w:rFonts w:ascii="Times New Roman" w:hAnsi="Times New Roman" w:cs="Times New Roman"/>
          <w:sz w:val="24"/>
          <w:szCs w:val="24"/>
        </w:rPr>
        <w:t xml:space="preserve">rajowego </w:t>
      </w:r>
      <w:r w:rsidR="001644B5">
        <w:rPr>
          <w:rFonts w:ascii="Times New Roman" w:hAnsi="Times New Roman" w:cs="Times New Roman"/>
          <w:sz w:val="24"/>
          <w:szCs w:val="24"/>
        </w:rPr>
        <w:t>b</w:t>
      </w:r>
      <w:r w:rsidRPr="004961F8">
        <w:rPr>
          <w:rFonts w:ascii="Times New Roman" w:hAnsi="Times New Roman" w:cs="Times New Roman"/>
          <w:sz w:val="24"/>
          <w:szCs w:val="24"/>
        </w:rPr>
        <w:t>rutto w 2023 r.;</w:t>
      </w:r>
    </w:p>
    <w:p w:rsidR="007967F9" w:rsidRPr="004961F8" w:rsidRDefault="007967F9" w:rsidP="004961F8">
      <w:pPr>
        <w:pStyle w:val="Akapitzlist"/>
        <w:numPr>
          <w:ilvl w:val="0"/>
          <w:numId w:val="1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4961F8">
        <w:rPr>
          <w:rFonts w:ascii="Times New Roman" w:hAnsi="Times New Roman" w:cs="Times New Roman"/>
          <w:sz w:val="24"/>
          <w:szCs w:val="24"/>
        </w:rPr>
        <w:t xml:space="preserve">5,80% </w:t>
      </w:r>
      <w:r w:rsidR="001644B5">
        <w:rPr>
          <w:rFonts w:ascii="Times New Roman" w:hAnsi="Times New Roman" w:cs="Times New Roman"/>
          <w:sz w:val="24"/>
          <w:szCs w:val="24"/>
        </w:rPr>
        <w:t>p</w:t>
      </w:r>
      <w:r w:rsidRPr="004961F8">
        <w:rPr>
          <w:rFonts w:ascii="Times New Roman" w:hAnsi="Times New Roman" w:cs="Times New Roman"/>
          <w:sz w:val="24"/>
          <w:szCs w:val="24"/>
        </w:rPr>
        <w:t xml:space="preserve">roduktu </w:t>
      </w:r>
      <w:r w:rsidR="001644B5">
        <w:rPr>
          <w:rFonts w:ascii="Times New Roman" w:hAnsi="Times New Roman" w:cs="Times New Roman"/>
          <w:sz w:val="24"/>
          <w:szCs w:val="24"/>
        </w:rPr>
        <w:t>k</w:t>
      </w:r>
      <w:r w:rsidRPr="004961F8">
        <w:rPr>
          <w:rFonts w:ascii="Times New Roman" w:hAnsi="Times New Roman" w:cs="Times New Roman"/>
          <w:sz w:val="24"/>
          <w:szCs w:val="24"/>
        </w:rPr>
        <w:t xml:space="preserve">rajowego </w:t>
      </w:r>
      <w:r w:rsidR="001644B5">
        <w:rPr>
          <w:rFonts w:ascii="Times New Roman" w:hAnsi="Times New Roman" w:cs="Times New Roman"/>
          <w:sz w:val="24"/>
          <w:szCs w:val="24"/>
        </w:rPr>
        <w:t>b</w:t>
      </w:r>
      <w:r w:rsidRPr="004961F8">
        <w:rPr>
          <w:rFonts w:ascii="Times New Roman" w:hAnsi="Times New Roman" w:cs="Times New Roman"/>
          <w:sz w:val="24"/>
          <w:szCs w:val="24"/>
        </w:rPr>
        <w:t>rutto w 2024 r.</w:t>
      </w:r>
    </w:p>
    <w:p w:rsidR="00F45E27" w:rsidRDefault="00F45E27" w:rsidP="009C0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proponuje się przyjęcie zasady, iż środki finansowe odpowiadające wzrostowi nakładów na opiekę </w:t>
      </w:r>
      <w:r w:rsidR="001D15BF">
        <w:rPr>
          <w:rFonts w:ascii="Times New Roman" w:hAnsi="Times New Roman" w:cs="Times New Roman"/>
          <w:sz w:val="24"/>
          <w:szCs w:val="24"/>
        </w:rPr>
        <w:t xml:space="preserve">zdrowotną na dany rok, w porównaniu z rokiem poprzednim, w pierwszej kolejności przeznaczane byłyby na finansowanie z budżetu państwa, w formie dotacji przekazywanej do </w:t>
      </w:r>
      <w:r w:rsidR="00006BC5">
        <w:rPr>
          <w:rFonts w:ascii="Times New Roman" w:hAnsi="Times New Roman" w:cs="Times New Roman"/>
          <w:sz w:val="24"/>
          <w:szCs w:val="24"/>
        </w:rPr>
        <w:t xml:space="preserve">Narodowego </w:t>
      </w:r>
      <w:r w:rsidR="001D15BF">
        <w:rPr>
          <w:rFonts w:ascii="Times New Roman" w:hAnsi="Times New Roman" w:cs="Times New Roman"/>
          <w:sz w:val="24"/>
          <w:szCs w:val="24"/>
        </w:rPr>
        <w:t>Funduszu</w:t>
      </w:r>
      <w:r w:rsidR="00006BC5">
        <w:rPr>
          <w:rFonts w:ascii="Times New Roman" w:hAnsi="Times New Roman" w:cs="Times New Roman"/>
          <w:sz w:val="24"/>
          <w:szCs w:val="24"/>
        </w:rPr>
        <w:t xml:space="preserve"> Zdrowia</w:t>
      </w:r>
      <w:r w:rsidR="001D15BF">
        <w:rPr>
          <w:rFonts w:ascii="Times New Roman" w:hAnsi="Times New Roman" w:cs="Times New Roman"/>
          <w:sz w:val="24"/>
          <w:szCs w:val="24"/>
        </w:rPr>
        <w:t xml:space="preserve">, świadczeń opieki zdrowotnej, określonych na każdy rok w drodze rozporządzenia </w:t>
      </w:r>
      <w:r w:rsidR="00006BC5">
        <w:rPr>
          <w:rFonts w:ascii="Times New Roman" w:hAnsi="Times New Roman" w:cs="Times New Roman"/>
          <w:sz w:val="24"/>
          <w:szCs w:val="24"/>
        </w:rPr>
        <w:t>m</w:t>
      </w:r>
      <w:r w:rsidR="001D15BF">
        <w:rPr>
          <w:rFonts w:ascii="Times New Roman" w:hAnsi="Times New Roman" w:cs="Times New Roman"/>
          <w:sz w:val="24"/>
          <w:szCs w:val="24"/>
        </w:rPr>
        <w:t>inistra</w:t>
      </w:r>
      <w:r w:rsidR="00006BC5">
        <w:rPr>
          <w:rFonts w:ascii="Times New Roman" w:hAnsi="Times New Roman" w:cs="Times New Roman"/>
          <w:sz w:val="24"/>
          <w:szCs w:val="24"/>
        </w:rPr>
        <w:t xml:space="preserve"> właściwego do spraw</w:t>
      </w:r>
      <w:r w:rsidR="001D15BF">
        <w:rPr>
          <w:rFonts w:ascii="Times New Roman" w:hAnsi="Times New Roman" w:cs="Times New Roman"/>
          <w:sz w:val="24"/>
          <w:szCs w:val="24"/>
        </w:rPr>
        <w:t xml:space="preserve"> </w:t>
      </w:r>
      <w:r w:rsidR="00006BC5">
        <w:rPr>
          <w:rFonts w:ascii="Times New Roman" w:hAnsi="Times New Roman" w:cs="Times New Roman"/>
          <w:sz w:val="24"/>
          <w:szCs w:val="24"/>
        </w:rPr>
        <w:t>z</w:t>
      </w:r>
      <w:r w:rsidR="001D15BF">
        <w:rPr>
          <w:rFonts w:ascii="Times New Roman" w:hAnsi="Times New Roman" w:cs="Times New Roman"/>
          <w:sz w:val="24"/>
          <w:szCs w:val="24"/>
        </w:rPr>
        <w:t>drowia, który przy wydawaniu tego rozporządzenia powinien kierować się takimi przesłankami jak: konieczność zapewnienia dostępności do określonych świadczeń, z uwzględnieniem list o</w:t>
      </w:r>
      <w:r w:rsidR="004961F8">
        <w:rPr>
          <w:rFonts w:ascii="Times New Roman" w:hAnsi="Times New Roman" w:cs="Times New Roman"/>
          <w:sz w:val="24"/>
          <w:szCs w:val="24"/>
        </w:rPr>
        <w:t>czekujących, rodzaj świadczeń z </w:t>
      </w:r>
      <w:r w:rsidR="001D15BF">
        <w:rPr>
          <w:rFonts w:ascii="Times New Roman" w:hAnsi="Times New Roman" w:cs="Times New Roman"/>
          <w:sz w:val="24"/>
          <w:szCs w:val="24"/>
        </w:rPr>
        <w:t xml:space="preserve">uwzględnieniem obowiązku zapewnienia szczególnej </w:t>
      </w:r>
      <w:r w:rsidR="001D15BF">
        <w:rPr>
          <w:rFonts w:ascii="Times New Roman" w:hAnsi="Times New Roman" w:cs="Times New Roman"/>
          <w:sz w:val="24"/>
          <w:szCs w:val="24"/>
        </w:rPr>
        <w:lastRenderedPageBreak/>
        <w:t>opieki zdrowotnej dzieciom, kobietom w ciąży, oso</w:t>
      </w:r>
      <w:r w:rsidR="00006BC5">
        <w:rPr>
          <w:rFonts w:ascii="Times New Roman" w:hAnsi="Times New Roman" w:cs="Times New Roman"/>
          <w:sz w:val="24"/>
          <w:szCs w:val="24"/>
        </w:rPr>
        <w:t>bom niepełnosprawnym i osobom w </w:t>
      </w:r>
      <w:r w:rsidR="001D15BF">
        <w:rPr>
          <w:rFonts w:ascii="Times New Roman" w:hAnsi="Times New Roman" w:cs="Times New Roman"/>
          <w:sz w:val="24"/>
          <w:szCs w:val="24"/>
        </w:rPr>
        <w:t>podeszłym wieku, a także wnioski płynące</w:t>
      </w:r>
      <w:r w:rsidR="00006BC5">
        <w:rPr>
          <w:rFonts w:ascii="Times New Roman" w:hAnsi="Times New Roman" w:cs="Times New Roman"/>
          <w:sz w:val="24"/>
          <w:szCs w:val="24"/>
        </w:rPr>
        <w:t xml:space="preserve"> z mapy potrzeb zdrowotnych.</w:t>
      </w:r>
    </w:p>
    <w:p w:rsidR="009C0386" w:rsidRDefault="009C0386" w:rsidP="009C0386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7A4B">
        <w:rPr>
          <w:rFonts w:ascii="Times New Roman" w:hAnsi="Times New Roman" w:cs="Times New Roman"/>
          <w:sz w:val="24"/>
          <w:szCs w:val="24"/>
        </w:rPr>
        <w:t>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AD">
        <w:rPr>
          <w:rFonts w:ascii="Times New Roman" w:hAnsi="Times New Roman" w:cs="Times New Roman"/>
          <w:i/>
          <w:sz w:val="24"/>
          <w:szCs w:val="24"/>
        </w:rPr>
        <w:t>expo</w:t>
      </w:r>
      <w:r w:rsidR="00805842" w:rsidRPr="00080FAD">
        <w:rPr>
          <w:rFonts w:ascii="Times New Roman" w:hAnsi="Times New Roman" w:cs="Times New Roman"/>
          <w:i/>
          <w:sz w:val="24"/>
          <w:szCs w:val="24"/>
        </w:rPr>
        <w:t>se</w:t>
      </w:r>
      <w:r w:rsidR="00805842">
        <w:rPr>
          <w:rFonts w:ascii="Times New Roman" w:hAnsi="Times New Roman" w:cs="Times New Roman"/>
          <w:sz w:val="24"/>
          <w:szCs w:val="24"/>
        </w:rPr>
        <w:t xml:space="preserve"> w dniu 18 listopada 2015 r.</w:t>
      </w:r>
      <w:r>
        <w:rPr>
          <w:rFonts w:ascii="Times New Roman" w:hAnsi="Times New Roman" w:cs="Times New Roman"/>
          <w:sz w:val="24"/>
          <w:szCs w:val="24"/>
        </w:rPr>
        <w:t xml:space="preserve"> Prezes Rady Ministrów zapowiedziała</w:t>
      </w:r>
      <w:r w:rsidR="009C37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iż</w:t>
      </w:r>
      <w:r w:rsidR="001D15BF">
        <w:rPr>
          <w:rFonts w:ascii="Times New Roman" w:hAnsi="Times New Roman" w:cs="Times New Roman"/>
          <w:sz w:val="24"/>
          <w:szCs w:val="24"/>
        </w:rPr>
        <w:t> </w:t>
      </w:r>
      <w:r w:rsidRPr="004961F8">
        <w:rPr>
          <w:rFonts w:ascii="Times New Roman" w:hAnsi="Times New Roman" w:cs="Times New Roman"/>
          <w:sz w:val="24"/>
          <w:szCs w:val="24"/>
        </w:rPr>
        <w:t>„Elementem polityki prorodzinnej, ale mającym także</w:t>
      </w:r>
      <w:r w:rsidR="001D15BF" w:rsidRPr="004961F8">
        <w:rPr>
          <w:rFonts w:ascii="Times New Roman" w:hAnsi="Times New Roman" w:cs="Times New Roman"/>
          <w:sz w:val="24"/>
          <w:szCs w:val="24"/>
        </w:rPr>
        <w:t xml:space="preserve"> znacznie szersze aspekty, jest </w:t>
      </w:r>
      <w:r w:rsidRPr="004961F8">
        <w:rPr>
          <w:rFonts w:ascii="Times New Roman" w:hAnsi="Times New Roman" w:cs="Times New Roman"/>
          <w:sz w:val="24"/>
          <w:szCs w:val="24"/>
        </w:rPr>
        <w:t>przebudowa służby zdrowia”</w:t>
      </w:r>
      <w:r w:rsidR="001D15BF" w:rsidRPr="004961F8">
        <w:rPr>
          <w:rFonts w:ascii="Times New Roman" w:hAnsi="Times New Roman" w:cs="Times New Roman"/>
          <w:sz w:val="24"/>
          <w:szCs w:val="24"/>
        </w:rPr>
        <w:t>,</w:t>
      </w:r>
      <w:r w:rsidRPr="004961F8">
        <w:rPr>
          <w:rFonts w:ascii="Times New Roman" w:hAnsi="Times New Roman" w:cs="Times New Roman"/>
          <w:sz w:val="24"/>
          <w:szCs w:val="24"/>
        </w:rPr>
        <w:t xml:space="preserve"> co wiąże się z tym, iż „Ka</w:t>
      </w:r>
      <w:r w:rsidR="001D15BF" w:rsidRPr="004961F8">
        <w:rPr>
          <w:rFonts w:ascii="Times New Roman" w:hAnsi="Times New Roman" w:cs="Times New Roman"/>
          <w:sz w:val="24"/>
          <w:szCs w:val="24"/>
        </w:rPr>
        <w:t>żdy polski obywatel ma czuć się </w:t>
      </w:r>
      <w:r w:rsidRPr="004961F8">
        <w:rPr>
          <w:rFonts w:ascii="Times New Roman" w:hAnsi="Times New Roman" w:cs="Times New Roman"/>
          <w:sz w:val="24"/>
          <w:szCs w:val="24"/>
        </w:rPr>
        <w:t>bezpieczny wtedy, kiedy potrzebuje pomocy medycznej. Ma wiedzieć, że ta pomoc zostanie mu udzielona szybko i że będzie bezpieczny”.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Powyższe st</w:t>
      </w:r>
      <w:r w:rsidR="001D15BF">
        <w:rPr>
          <w:rFonts w:ascii="Times New Roman" w:hAnsi="Times New Roman" w:cs="Times New Roman"/>
          <w:sz w:val="24"/>
          <w:szCs w:val="24"/>
        </w:rPr>
        <w:t>wierdzenie wynika z tego, iż we </w:t>
      </w:r>
      <w:r>
        <w:rPr>
          <w:rFonts w:ascii="Times New Roman" w:hAnsi="Times New Roman" w:cs="Times New Roman"/>
          <w:sz w:val="24"/>
          <w:szCs w:val="24"/>
        </w:rPr>
        <w:t>wszystkich badaniach wśród najważniejszych wartości w życiu Polacy wymi</w:t>
      </w:r>
      <w:r w:rsidR="00805842">
        <w:rPr>
          <w:rFonts w:ascii="Times New Roman" w:hAnsi="Times New Roman" w:cs="Times New Roman"/>
          <w:sz w:val="24"/>
          <w:szCs w:val="24"/>
        </w:rPr>
        <w:t>eniają zdrowie. Ponadto w Rzeczypospolitej Polskiej</w:t>
      </w:r>
      <w:r>
        <w:rPr>
          <w:rFonts w:ascii="Times New Roman" w:hAnsi="Times New Roman" w:cs="Times New Roman"/>
          <w:sz w:val="24"/>
          <w:szCs w:val="24"/>
        </w:rPr>
        <w:t xml:space="preserve"> występuje zjawisko starzenia się społeczeństwa, co przekłada się na rosnące </w:t>
      </w:r>
      <w:r w:rsidR="00FC7276">
        <w:rPr>
          <w:rFonts w:ascii="Times New Roman" w:hAnsi="Times New Roman" w:cs="Times New Roman"/>
          <w:sz w:val="24"/>
          <w:szCs w:val="24"/>
        </w:rPr>
        <w:t xml:space="preserve">potrzeby i słuszne </w:t>
      </w:r>
      <w:r>
        <w:rPr>
          <w:rFonts w:ascii="Times New Roman" w:hAnsi="Times New Roman" w:cs="Times New Roman"/>
          <w:sz w:val="24"/>
          <w:szCs w:val="24"/>
        </w:rPr>
        <w:t>oczekiwania pacjentów. Bez dodatkowych środków nie da się powstrzymać negatywnych trendów i pogorszenia dostępu do świadczeń zdrowotnych, czyli wzrostu liczby kolejek</w:t>
      </w:r>
      <w:r w:rsidR="0057405E">
        <w:rPr>
          <w:rFonts w:ascii="Times New Roman" w:hAnsi="Times New Roman" w:cs="Times New Roman"/>
          <w:sz w:val="24"/>
          <w:szCs w:val="24"/>
        </w:rPr>
        <w:t xml:space="preserve"> i czasu oczekiwania na świadczenia</w:t>
      </w:r>
      <w:r>
        <w:rPr>
          <w:rFonts w:ascii="Times New Roman" w:hAnsi="Times New Roman" w:cs="Times New Roman"/>
          <w:sz w:val="24"/>
          <w:szCs w:val="24"/>
        </w:rPr>
        <w:t>. Społec</w:t>
      </w:r>
      <w:r w:rsidR="00805842">
        <w:rPr>
          <w:rFonts w:ascii="Times New Roman" w:hAnsi="Times New Roman" w:cs="Times New Roman"/>
          <w:sz w:val="24"/>
          <w:szCs w:val="24"/>
        </w:rPr>
        <w:t>zeństwo polskie starzeje się. Według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805842">
        <w:rPr>
          <w:rFonts w:ascii="Times New Roman" w:hAnsi="Times New Roman" w:cs="Times New Roman"/>
          <w:sz w:val="24"/>
          <w:szCs w:val="24"/>
        </w:rPr>
        <w:t xml:space="preserve">łównego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05842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961F8">
        <w:rPr>
          <w:rFonts w:ascii="Times New Roman" w:hAnsi="Times New Roman" w:cs="Times New Roman"/>
          <w:sz w:val="24"/>
          <w:szCs w:val="24"/>
        </w:rPr>
        <w:t>tatystycznego w 2014 r. w </w:t>
      </w:r>
      <w:r w:rsidR="00805842">
        <w:rPr>
          <w:rFonts w:ascii="Times New Roman" w:hAnsi="Times New Roman" w:cs="Times New Roman"/>
          <w:sz w:val="24"/>
          <w:szCs w:val="24"/>
        </w:rPr>
        <w:t>R</w:t>
      </w:r>
      <w:r w:rsidR="001D15BF">
        <w:rPr>
          <w:rFonts w:ascii="Times New Roman" w:hAnsi="Times New Roman" w:cs="Times New Roman"/>
          <w:sz w:val="24"/>
          <w:szCs w:val="24"/>
        </w:rPr>
        <w:t xml:space="preserve">zeczypospolitej Polskiej </w:t>
      </w:r>
      <w:r w:rsidRPr="0000280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00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ogólnej liczby ludności stanowiły osoby</w:t>
      </w:r>
      <w:r w:rsidRPr="00002800">
        <w:rPr>
          <w:rFonts w:ascii="Times New Roman" w:hAnsi="Times New Roman" w:cs="Times New Roman"/>
          <w:sz w:val="24"/>
          <w:szCs w:val="24"/>
        </w:rPr>
        <w:t xml:space="preserve"> w wieku poprodukcyjnym</w:t>
      </w:r>
      <w:r>
        <w:rPr>
          <w:rFonts w:ascii="Times New Roman" w:hAnsi="Times New Roman" w:cs="Times New Roman"/>
          <w:sz w:val="24"/>
          <w:szCs w:val="24"/>
        </w:rPr>
        <w:t>, natomiast</w:t>
      </w:r>
      <w:r w:rsidR="001D15BF">
        <w:rPr>
          <w:rFonts w:ascii="Times New Roman" w:hAnsi="Times New Roman" w:cs="Times New Roman"/>
          <w:sz w:val="24"/>
          <w:szCs w:val="24"/>
        </w:rPr>
        <w:t xml:space="preserve"> w </w:t>
      </w:r>
      <w:r w:rsidRPr="00002800">
        <w:rPr>
          <w:rFonts w:ascii="Times New Roman" w:hAnsi="Times New Roman" w:cs="Times New Roman"/>
          <w:sz w:val="24"/>
          <w:szCs w:val="24"/>
        </w:rPr>
        <w:t xml:space="preserve">2050 </w:t>
      </w:r>
      <w:r w:rsidR="00805842">
        <w:rPr>
          <w:rFonts w:ascii="Times New Roman" w:hAnsi="Times New Roman" w:cs="Times New Roman"/>
          <w:sz w:val="24"/>
          <w:szCs w:val="24"/>
        </w:rPr>
        <w:t xml:space="preserve">r. </w:t>
      </w:r>
      <w:r w:rsidRPr="00002800">
        <w:rPr>
          <w:rFonts w:ascii="Times New Roman" w:hAnsi="Times New Roman" w:cs="Times New Roman"/>
          <w:sz w:val="24"/>
          <w:szCs w:val="24"/>
        </w:rPr>
        <w:t xml:space="preserve">będzie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002800">
        <w:rPr>
          <w:rFonts w:ascii="Times New Roman" w:hAnsi="Times New Roman" w:cs="Times New Roman"/>
          <w:sz w:val="24"/>
          <w:szCs w:val="24"/>
        </w:rPr>
        <w:t>ponad 32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0028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Należy przy tym podkreślić, że w</w:t>
      </w:r>
      <w:r w:rsidRPr="00002800">
        <w:rPr>
          <w:rFonts w:ascii="Times New Roman" w:hAnsi="Times New Roman" w:cs="Times New Roman"/>
          <w:sz w:val="24"/>
          <w:szCs w:val="24"/>
        </w:rPr>
        <w:t xml:space="preserve"> oparciu o badanie z 2015 r. dla osób starszych </w:t>
      </w:r>
      <w:r w:rsidR="00FC7276">
        <w:rPr>
          <w:rFonts w:ascii="Times New Roman" w:hAnsi="Times New Roman" w:cs="Times New Roman"/>
          <w:sz w:val="24"/>
          <w:szCs w:val="24"/>
        </w:rPr>
        <w:t>wśród trzech najważniejszych</w:t>
      </w:r>
      <w:r w:rsidR="004961F8">
        <w:rPr>
          <w:rFonts w:ascii="Times New Roman" w:hAnsi="Times New Roman" w:cs="Times New Roman"/>
          <w:sz w:val="24"/>
          <w:szCs w:val="24"/>
        </w:rPr>
        <w:t xml:space="preserve"> wartości w </w:t>
      </w:r>
      <w:r w:rsidRPr="00002800">
        <w:rPr>
          <w:rFonts w:ascii="Times New Roman" w:hAnsi="Times New Roman" w:cs="Times New Roman"/>
          <w:sz w:val="24"/>
          <w:szCs w:val="24"/>
        </w:rPr>
        <w:t xml:space="preserve">życiu, </w:t>
      </w:r>
      <w:r w:rsidR="00FC7276">
        <w:rPr>
          <w:rFonts w:ascii="Times New Roman" w:hAnsi="Times New Roman" w:cs="Times New Roman"/>
          <w:sz w:val="24"/>
          <w:szCs w:val="24"/>
        </w:rPr>
        <w:t>przed rodziną i wiarą religijną</w:t>
      </w:r>
      <w:r w:rsidR="001644B5">
        <w:rPr>
          <w:rFonts w:ascii="Times New Roman" w:hAnsi="Times New Roman" w:cs="Times New Roman"/>
          <w:sz w:val="24"/>
          <w:szCs w:val="24"/>
        </w:rPr>
        <w:t>,</w:t>
      </w:r>
      <w:r w:rsidR="00FC7276">
        <w:rPr>
          <w:rFonts w:ascii="Times New Roman" w:hAnsi="Times New Roman" w:cs="Times New Roman"/>
          <w:sz w:val="24"/>
          <w:szCs w:val="24"/>
        </w:rPr>
        <w:t xml:space="preserve"> </w:t>
      </w:r>
      <w:r w:rsidRPr="00002800">
        <w:rPr>
          <w:rFonts w:ascii="Times New Roman" w:hAnsi="Times New Roman" w:cs="Times New Roman"/>
          <w:sz w:val="24"/>
          <w:szCs w:val="24"/>
        </w:rPr>
        <w:t xml:space="preserve">to zdrowie </w:t>
      </w:r>
      <w:r w:rsidR="00FC7276">
        <w:rPr>
          <w:rFonts w:ascii="Times New Roman" w:hAnsi="Times New Roman" w:cs="Times New Roman"/>
          <w:sz w:val="24"/>
          <w:szCs w:val="24"/>
        </w:rPr>
        <w:t xml:space="preserve">zdobyło </w:t>
      </w:r>
      <w:r w:rsidR="004961F8">
        <w:rPr>
          <w:rFonts w:ascii="Times New Roman" w:hAnsi="Times New Roman" w:cs="Times New Roman"/>
          <w:sz w:val="24"/>
          <w:szCs w:val="24"/>
        </w:rPr>
        <w:t>największą liczbę wskazań (95,3 </w:t>
      </w:r>
      <w:r w:rsidR="00006BC5">
        <w:rPr>
          <w:rFonts w:ascii="Times New Roman" w:hAnsi="Times New Roman" w:cs="Times New Roman"/>
          <w:sz w:val="24"/>
          <w:szCs w:val="24"/>
        </w:rPr>
        <w:t>%</w:t>
      </w:r>
      <w:r w:rsidR="00FC7276">
        <w:rPr>
          <w:rFonts w:ascii="Times New Roman" w:hAnsi="Times New Roman" w:cs="Times New Roman"/>
          <w:sz w:val="24"/>
          <w:szCs w:val="24"/>
        </w:rPr>
        <w:t xml:space="preserve"> wskazań).</w:t>
      </w:r>
      <w:r w:rsidRPr="0000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celu realizacji ww. zapowiedzi należy dążyć do zwiększenia nakładów na służbę zdrowia. Tym bardziej staje się to zasadne w kontekście raportów OECD dotyczących wysokości środków publicznych przeznaczanych na ochronę zdrowia, w których średnia publicznych wydatków </w:t>
      </w:r>
      <w:r w:rsidR="00BB1647">
        <w:rPr>
          <w:rFonts w:ascii="Times New Roman" w:hAnsi="Times New Roman" w:cs="Times New Roman"/>
          <w:sz w:val="24"/>
          <w:szCs w:val="24"/>
        </w:rPr>
        <w:t xml:space="preserve">dla krajów rozwiniętych gospodarczo </w:t>
      </w:r>
      <w:r>
        <w:rPr>
          <w:rFonts w:ascii="Times New Roman" w:hAnsi="Times New Roman" w:cs="Times New Roman"/>
          <w:sz w:val="24"/>
          <w:szCs w:val="24"/>
        </w:rPr>
        <w:t>na zdro</w:t>
      </w:r>
      <w:r w:rsidR="00805842">
        <w:rPr>
          <w:rFonts w:ascii="Times New Roman" w:hAnsi="Times New Roman" w:cs="Times New Roman"/>
          <w:sz w:val="24"/>
          <w:szCs w:val="24"/>
        </w:rPr>
        <w:t>wie to 6,7% PKB, a gdzie nasze państwo zajęło w 2015 r.</w:t>
      </w:r>
      <w:r>
        <w:rPr>
          <w:rFonts w:ascii="Times New Roman" w:hAnsi="Times New Roman" w:cs="Times New Roman"/>
          <w:sz w:val="24"/>
          <w:szCs w:val="24"/>
        </w:rPr>
        <w:t xml:space="preserve"> jedno z ostatnich miejsc z 4,5% PKB. Za </w:t>
      </w:r>
      <w:r w:rsidR="00FC7276">
        <w:rPr>
          <w:rFonts w:ascii="Times New Roman" w:hAnsi="Times New Roman" w:cs="Times New Roman"/>
          <w:sz w:val="24"/>
          <w:szCs w:val="24"/>
        </w:rPr>
        <w:t>Rzecz</w:t>
      </w:r>
      <w:r w:rsidR="001644B5">
        <w:rPr>
          <w:rFonts w:ascii="Times New Roman" w:hAnsi="Times New Roman" w:cs="Times New Roman"/>
          <w:sz w:val="24"/>
          <w:szCs w:val="24"/>
        </w:rPr>
        <w:t>ą</w:t>
      </w:r>
      <w:r w:rsidR="00FC7276">
        <w:rPr>
          <w:rFonts w:ascii="Times New Roman" w:hAnsi="Times New Roman" w:cs="Times New Roman"/>
          <w:sz w:val="24"/>
          <w:szCs w:val="24"/>
        </w:rPr>
        <w:t>pospolitą</w:t>
      </w:r>
      <w:r w:rsidR="00805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Polską znalazły się takie kraje jak</w:t>
      </w:r>
      <w:r w:rsidR="001644B5">
        <w:rPr>
          <w:rFonts w:ascii="Times New Roman" w:hAnsi="Times New Roman" w:cs="Times New Roman"/>
          <w:sz w:val="24"/>
          <w:szCs w:val="24"/>
        </w:rPr>
        <w:t>:</w:t>
      </w:r>
      <w:r w:rsidR="001D15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Litwa (4,4% PKB), Korea (4,0% PKB), Turcja (4</w:t>
      </w:r>
      <w:r w:rsidR="001D15BF">
        <w:rPr>
          <w:rFonts w:ascii="Times New Roman" w:hAnsi="Times New Roman" w:cs="Times New Roman"/>
          <w:sz w:val="24"/>
          <w:szCs w:val="24"/>
        </w:rPr>
        <w:t>,0% PKB), Łotwa (3,4% PKB) oraz </w:t>
      </w:r>
      <w:r>
        <w:rPr>
          <w:rFonts w:ascii="Times New Roman" w:hAnsi="Times New Roman" w:cs="Times New Roman"/>
          <w:sz w:val="24"/>
          <w:szCs w:val="24"/>
        </w:rPr>
        <w:t xml:space="preserve">Meksyk (3,0% PKB). </w:t>
      </w:r>
    </w:p>
    <w:p w:rsidR="009C0386" w:rsidRDefault="009C0386" w:rsidP="009C0386">
      <w:pPr>
        <w:pStyle w:val="Akapitzlist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DB0">
        <w:rPr>
          <w:rFonts w:ascii="Times New Roman" w:hAnsi="Times New Roman" w:cs="Times New Roman"/>
          <w:sz w:val="24"/>
          <w:szCs w:val="24"/>
        </w:rPr>
        <w:t xml:space="preserve">Wielkość środków publicznych i prywatnych przeznaczanych przez poszczególne kraje OECD oraz wielkość środków publicznych i prywatnych przeznaczanych przez poszczególne kraje OECD </w:t>
      </w:r>
      <w:r w:rsidRPr="009C3DB0">
        <w:rPr>
          <w:rFonts w:ascii="Times New Roman" w:hAnsi="Times New Roman" w:cs="Times New Roman"/>
          <w:i/>
          <w:sz w:val="24"/>
          <w:szCs w:val="24"/>
        </w:rPr>
        <w:t>per capita</w:t>
      </w:r>
      <w:r w:rsidRPr="009C3DB0">
        <w:rPr>
          <w:rFonts w:ascii="Times New Roman" w:hAnsi="Times New Roman" w:cs="Times New Roman"/>
          <w:sz w:val="24"/>
          <w:szCs w:val="24"/>
        </w:rPr>
        <w:t xml:space="preserve"> przedstawia</w:t>
      </w:r>
      <w:r w:rsidR="009C3DB0" w:rsidRPr="009C3DB0">
        <w:rPr>
          <w:rFonts w:ascii="Times New Roman" w:hAnsi="Times New Roman" w:cs="Times New Roman"/>
          <w:sz w:val="24"/>
          <w:szCs w:val="24"/>
        </w:rPr>
        <w:t xml:space="preserve">ją wykres nr </w:t>
      </w:r>
      <w:r w:rsidR="00E01768">
        <w:rPr>
          <w:rFonts w:ascii="Times New Roman" w:hAnsi="Times New Roman" w:cs="Times New Roman"/>
          <w:sz w:val="24"/>
          <w:szCs w:val="24"/>
        </w:rPr>
        <w:t>1 i wykres nr 2</w:t>
      </w:r>
      <w:r w:rsidRPr="009C3DB0">
        <w:rPr>
          <w:rFonts w:ascii="Times New Roman" w:hAnsi="Times New Roman" w:cs="Times New Roman"/>
          <w:sz w:val="24"/>
          <w:szCs w:val="24"/>
        </w:rPr>
        <w:t>.</w:t>
      </w:r>
    </w:p>
    <w:p w:rsidR="009C3DB0" w:rsidRDefault="00E01768" w:rsidP="004961F8">
      <w:pPr>
        <w:pStyle w:val="Akapitzlist"/>
        <w:keepNext/>
        <w:keepLine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Wykres nr 1</w:t>
      </w:r>
      <w:r w:rsidR="009C3DB0" w:rsidRPr="009C3DB0">
        <w:rPr>
          <w:rFonts w:ascii="Times New Roman" w:hAnsi="Times New Roman" w:cs="Times New Roman"/>
          <w:b/>
          <w:sz w:val="24"/>
          <w:szCs w:val="24"/>
        </w:rPr>
        <w:t>.</w:t>
      </w:r>
      <w:r w:rsidR="00D76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B07">
        <w:rPr>
          <w:rFonts w:ascii="Times New Roman" w:hAnsi="Times New Roman" w:cs="Times New Roman"/>
          <w:sz w:val="24"/>
          <w:szCs w:val="24"/>
        </w:rPr>
        <w:t xml:space="preserve">Wielkość środków publicznych i prywatnych przeznaczanych przez poszczególne kraje OECD </w:t>
      </w:r>
      <w:r w:rsidR="00D76DF9">
        <w:rPr>
          <w:rFonts w:ascii="Times New Roman" w:hAnsi="Times New Roman" w:cs="Times New Roman"/>
          <w:sz w:val="24"/>
          <w:szCs w:val="24"/>
        </w:rPr>
        <w:t xml:space="preserve">jako procent PKB </w:t>
      </w:r>
      <w:r w:rsidR="00805842">
        <w:rPr>
          <w:rFonts w:ascii="Times New Roman" w:hAnsi="Times New Roman" w:cs="Times New Roman"/>
          <w:sz w:val="24"/>
          <w:szCs w:val="24"/>
        </w:rPr>
        <w:t>w 2015 r</w:t>
      </w:r>
      <w:r w:rsidR="00227B07">
        <w:rPr>
          <w:rFonts w:ascii="Times New Roman" w:hAnsi="Times New Roman" w:cs="Times New Roman"/>
          <w:sz w:val="24"/>
          <w:szCs w:val="24"/>
        </w:rPr>
        <w:t>.</w:t>
      </w:r>
    </w:p>
    <w:p w:rsidR="00227B07" w:rsidRPr="00227B07" w:rsidRDefault="00D76DF9" w:rsidP="00D76DF9">
      <w:pPr>
        <w:pStyle w:val="Akapitzlist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89B90ED" wp14:editId="73139F2C">
            <wp:extent cx="5816600" cy="2857500"/>
            <wp:effectExtent l="0" t="0" r="1270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3DB0" w:rsidRDefault="00D76DF9" w:rsidP="008D307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C72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Źródło: </w:t>
      </w:r>
      <w:r w:rsidRPr="00805842">
        <w:rPr>
          <w:rFonts w:ascii="Times New Roman" w:hAnsi="Times New Roman" w:cs="Times New Roman"/>
          <w:i/>
          <w:sz w:val="20"/>
          <w:szCs w:val="20"/>
          <w:lang w:val="en-US"/>
        </w:rPr>
        <w:t>Health at a Glance: Europe 2016, State of Health in the EU Cycle</w:t>
      </w:r>
      <w:r w:rsidR="004961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1D15BF" w:rsidRPr="00FC7276" w:rsidRDefault="001D15BF" w:rsidP="008D3073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76DF9" w:rsidRPr="00D76DF9" w:rsidRDefault="00E01768" w:rsidP="001D15B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Wykres nr 2</w:t>
      </w:r>
      <w:r w:rsidR="00D76DF9" w:rsidRPr="00805842">
        <w:rPr>
          <w:rFonts w:ascii="Times New Roman" w:hAnsi="Times New Roman" w:cs="Times New Roman"/>
          <w:b/>
          <w:sz w:val="24"/>
          <w:szCs w:val="24"/>
        </w:rPr>
        <w:t>.</w:t>
      </w:r>
      <w:r w:rsidR="00D76DF9">
        <w:rPr>
          <w:rFonts w:ascii="Times New Roman" w:hAnsi="Times New Roman" w:cs="Times New Roman"/>
          <w:sz w:val="24"/>
          <w:szCs w:val="24"/>
        </w:rPr>
        <w:t xml:space="preserve"> Wielkość środków publicznych i prywatnych </w:t>
      </w:r>
      <w:r w:rsidR="00D76DF9" w:rsidRPr="00D76DF9">
        <w:rPr>
          <w:rFonts w:ascii="Times New Roman" w:hAnsi="Times New Roman" w:cs="Times New Roman"/>
          <w:i/>
          <w:sz w:val="24"/>
          <w:szCs w:val="24"/>
        </w:rPr>
        <w:t>per capita</w:t>
      </w:r>
      <w:r w:rsidR="00D76DF9">
        <w:rPr>
          <w:rFonts w:ascii="Times New Roman" w:hAnsi="Times New Roman" w:cs="Times New Roman"/>
          <w:sz w:val="24"/>
          <w:szCs w:val="24"/>
        </w:rPr>
        <w:t xml:space="preserve"> przeznaczanych  przez pos</w:t>
      </w:r>
      <w:r w:rsidR="00805842">
        <w:rPr>
          <w:rFonts w:ascii="Times New Roman" w:hAnsi="Times New Roman" w:cs="Times New Roman"/>
          <w:sz w:val="24"/>
          <w:szCs w:val="24"/>
        </w:rPr>
        <w:t>zczególne kraje OECD w 2015 r</w:t>
      </w:r>
      <w:r w:rsidR="00D76DF9">
        <w:rPr>
          <w:rFonts w:ascii="Times New Roman" w:hAnsi="Times New Roman" w:cs="Times New Roman"/>
          <w:sz w:val="24"/>
          <w:szCs w:val="24"/>
        </w:rPr>
        <w:t>.</w:t>
      </w:r>
    </w:p>
    <w:p w:rsidR="001A1771" w:rsidRDefault="001A1771" w:rsidP="001A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2CE5B56" wp14:editId="5192D1ED">
            <wp:extent cx="5760720" cy="3059430"/>
            <wp:effectExtent l="0" t="0" r="11430" b="762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1771" w:rsidRPr="001A1771" w:rsidRDefault="001A1771" w:rsidP="001A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771" w:rsidRPr="00FC7276" w:rsidRDefault="001A1771" w:rsidP="001A1771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C72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Źródło: </w:t>
      </w:r>
      <w:r w:rsidRPr="00805842">
        <w:rPr>
          <w:rFonts w:ascii="Times New Roman" w:hAnsi="Times New Roman" w:cs="Times New Roman"/>
          <w:i/>
          <w:sz w:val="20"/>
          <w:szCs w:val="20"/>
          <w:lang w:val="en-US"/>
        </w:rPr>
        <w:t>Health at a Glance: Europe 2016, State of Health in the EU Cycle</w:t>
      </w:r>
      <w:r w:rsidR="004961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8D3A45" w:rsidRDefault="008D3073" w:rsidP="004961F8">
      <w:pPr>
        <w:pStyle w:val="Akapitzlist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zauważenia wymaga, iż z</w:t>
      </w:r>
      <w:r w:rsidRPr="00C34AB0">
        <w:rPr>
          <w:rFonts w:ascii="Times New Roman" w:hAnsi="Times New Roman" w:cs="Times New Roman"/>
          <w:sz w:val="24"/>
          <w:szCs w:val="24"/>
        </w:rPr>
        <w:t xml:space="preserve">awartość </w:t>
      </w:r>
      <w:r w:rsidR="00805842">
        <w:rPr>
          <w:rFonts w:ascii="Times New Roman" w:hAnsi="Times New Roman" w:cs="Times New Roman"/>
          <w:sz w:val="24"/>
          <w:szCs w:val="24"/>
        </w:rPr>
        <w:t xml:space="preserve">tzw. </w:t>
      </w:r>
      <w:r w:rsidRPr="00C34AB0">
        <w:rPr>
          <w:rFonts w:ascii="Times New Roman" w:hAnsi="Times New Roman" w:cs="Times New Roman"/>
          <w:sz w:val="24"/>
          <w:szCs w:val="24"/>
        </w:rPr>
        <w:t>koszyka świadczeń gwarantowanych jest dziś określo</w:t>
      </w:r>
      <w:r>
        <w:rPr>
          <w:rFonts w:ascii="Times New Roman" w:hAnsi="Times New Roman" w:cs="Times New Roman"/>
          <w:sz w:val="24"/>
          <w:szCs w:val="24"/>
        </w:rPr>
        <w:t xml:space="preserve">na w </w:t>
      </w:r>
      <w:r w:rsidRPr="00C34AB0">
        <w:rPr>
          <w:rFonts w:ascii="Times New Roman" w:hAnsi="Times New Roman" w:cs="Times New Roman"/>
          <w:sz w:val="24"/>
          <w:szCs w:val="24"/>
        </w:rPr>
        <w:t xml:space="preserve">dysproporcji w stosunku do wielkości środków finansowych na jego realizację. Innymi słowy w </w:t>
      </w:r>
      <w:r w:rsidR="00805842">
        <w:rPr>
          <w:rFonts w:ascii="Times New Roman" w:hAnsi="Times New Roman" w:cs="Times New Roman"/>
          <w:sz w:val="24"/>
          <w:szCs w:val="24"/>
        </w:rPr>
        <w:t xml:space="preserve">ww. </w:t>
      </w:r>
      <w:r w:rsidRPr="00C34AB0">
        <w:rPr>
          <w:rFonts w:ascii="Times New Roman" w:hAnsi="Times New Roman" w:cs="Times New Roman"/>
          <w:sz w:val="24"/>
          <w:szCs w:val="24"/>
        </w:rPr>
        <w:t>koszyku jest więcej świadczeń niż m</w:t>
      </w:r>
      <w:r w:rsidR="001D15BF">
        <w:rPr>
          <w:rFonts w:ascii="Times New Roman" w:hAnsi="Times New Roman" w:cs="Times New Roman"/>
          <w:sz w:val="24"/>
          <w:szCs w:val="24"/>
        </w:rPr>
        <w:t>ożliwe jest do sfinansowania ze </w:t>
      </w:r>
      <w:r w:rsidRPr="00C34AB0">
        <w:rPr>
          <w:rFonts w:ascii="Times New Roman" w:hAnsi="Times New Roman" w:cs="Times New Roman"/>
          <w:sz w:val="24"/>
          <w:szCs w:val="24"/>
        </w:rPr>
        <w:t>środków publicznych przeznacz</w:t>
      </w:r>
      <w:r w:rsidR="001D15BF">
        <w:rPr>
          <w:rFonts w:ascii="Times New Roman" w:hAnsi="Times New Roman" w:cs="Times New Roman"/>
          <w:sz w:val="24"/>
          <w:szCs w:val="24"/>
        </w:rPr>
        <w:t>anych na służbę zdrowia w Rzeczypospolitej Polskiej</w:t>
      </w:r>
      <w:r w:rsidRPr="00C34AB0">
        <w:rPr>
          <w:rFonts w:ascii="Times New Roman" w:hAnsi="Times New Roman" w:cs="Times New Roman"/>
          <w:sz w:val="24"/>
          <w:szCs w:val="24"/>
        </w:rPr>
        <w:t xml:space="preserve">. </w:t>
      </w:r>
      <w:r w:rsidR="001D15BF">
        <w:rPr>
          <w:rFonts w:ascii="Times New Roman" w:hAnsi="Times New Roman" w:cs="Times New Roman"/>
          <w:sz w:val="24"/>
          <w:szCs w:val="24"/>
        </w:rPr>
        <w:lastRenderedPageBreak/>
        <w:t>Przede wszystkim z </w:t>
      </w:r>
      <w:r>
        <w:rPr>
          <w:rFonts w:ascii="Times New Roman" w:hAnsi="Times New Roman" w:cs="Times New Roman"/>
          <w:sz w:val="24"/>
          <w:szCs w:val="24"/>
        </w:rPr>
        <w:t xml:space="preserve">niewystarczających środków i wskazanej dysproporcji </w:t>
      </w:r>
      <w:r w:rsidRPr="00C34AB0">
        <w:rPr>
          <w:rFonts w:ascii="Times New Roman" w:hAnsi="Times New Roman" w:cs="Times New Roman"/>
          <w:sz w:val="24"/>
          <w:szCs w:val="24"/>
        </w:rPr>
        <w:t xml:space="preserve">wynikają </w:t>
      </w:r>
      <w:r>
        <w:rPr>
          <w:rFonts w:ascii="Times New Roman" w:hAnsi="Times New Roman" w:cs="Times New Roman"/>
          <w:sz w:val="24"/>
          <w:szCs w:val="24"/>
        </w:rPr>
        <w:t>takie patologie systemu</w:t>
      </w:r>
      <w:r w:rsidR="0057405E">
        <w:rPr>
          <w:rFonts w:ascii="Times New Roman" w:hAnsi="Times New Roman" w:cs="Times New Roman"/>
          <w:sz w:val="24"/>
          <w:szCs w:val="24"/>
        </w:rPr>
        <w:t>, jak</w:t>
      </w:r>
      <w:r w:rsidR="001D15BF">
        <w:rPr>
          <w:rFonts w:ascii="Times New Roman" w:hAnsi="Times New Roman" w:cs="Times New Roman"/>
          <w:sz w:val="24"/>
          <w:szCs w:val="24"/>
        </w:rPr>
        <w:t> </w:t>
      </w:r>
      <w:r w:rsidRPr="00C34AB0">
        <w:rPr>
          <w:rFonts w:ascii="Times New Roman" w:hAnsi="Times New Roman" w:cs="Times New Roman"/>
          <w:sz w:val="24"/>
          <w:szCs w:val="24"/>
        </w:rPr>
        <w:t>korzystanie z przywileju (</w:t>
      </w:r>
      <w:r w:rsidR="009C3744">
        <w:rPr>
          <w:rFonts w:ascii="Times New Roman" w:hAnsi="Times New Roman" w:cs="Times New Roman"/>
          <w:sz w:val="24"/>
          <w:szCs w:val="24"/>
        </w:rPr>
        <w:t xml:space="preserve">znajomości), </w:t>
      </w:r>
      <w:r w:rsidRPr="00C34AB0">
        <w:rPr>
          <w:rFonts w:ascii="Times New Roman" w:hAnsi="Times New Roman" w:cs="Times New Roman"/>
          <w:sz w:val="24"/>
          <w:szCs w:val="24"/>
        </w:rPr>
        <w:t>korupcja</w:t>
      </w:r>
      <w:r w:rsidR="008D3A45">
        <w:rPr>
          <w:rFonts w:ascii="Times New Roman" w:hAnsi="Times New Roman" w:cs="Times New Roman"/>
          <w:sz w:val="24"/>
          <w:szCs w:val="24"/>
        </w:rPr>
        <w:t xml:space="preserve"> czy kolejki</w:t>
      </w:r>
      <w:r w:rsidRPr="00C34A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BF">
        <w:rPr>
          <w:rFonts w:ascii="Times New Roman" w:hAnsi="Times New Roman" w:cs="Times New Roman"/>
          <w:sz w:val="24"/>
          <w:szCs w:val="24"/>
        </w:rPr>
        <w:t>W </w:t>
      </w:r>
      <w:r w:rsidR="005F7F8D">
        <w:rPr>
          <w:rFonts w:ascii="Times New Roman" w:hAnsi="Times New Roman" w:cs="Times New Roman"/>
          <w:sz w:val="24"/>
          <w:szCs w:val="24"/>
        </w:rPr>
        <w:t>przypadku problemu kolejek</w:t>
      </w:r>
      <w:r w:rsidR="008D3A45">
        <w:rPr>
          <w:rFonts w:ascii="Times New Roman" w:hAnsi="Times New Roman" w:cs="Times New Roman"/>
          <w:sz w:val="24"/>
          <w:szCs w:val="24"/>
        </w:rPr>
        <w:t xml:space="preserve"> </w:t>
      </w:r>
      <w:r w:rsidR="00805842">
        <w:rPr>
          <w:rFonts w:ascii="Times New Roman" w:hAnsi="Times New Roman" w:cs="Times New Roman"/>
          <w:sz w:val="24"/>
          <w:szCs w:val="24"/>
        </w:rPr>
        <w:t>według stanu na koniec 2016 r.</w:t>
      </w:r>
      <w:r w:rsidR="008D3A45">
        <w:rPr>
          <w:rFonts w:ascii="Times New Roman" w:hAnsi="Times New Roman" w:cs="Times New Roman"/>
          <w:sz w:val="24"/>
          <w:szCs w:val="24"/>
        </w:rPr>
        <w:t xml:space="preserve"> świadczenia, do których dostępność wyrażana czasem oczekiwania była ograniczona</w:t>
      </w:r>
      <w:r w:rsidR="001644B5">
        <w:rPr>
          <w:rFonts w:ascii="Times New Roman" w:hAnsi="Times New Roman" w:cs="Times New Roman"/>
          <w:sz w:val="24"/>
          <w:szCs w:val="24"/>
        </w:rPr>
        <w:t>,</w:t>
      </w:r>
      <w:r w:rsidR="008D3A45">
        <w:rPr>
          <w:rFonts w:ascii="Times New Roman" w:hAnsi="Times New Roman" w:cs="Times New Roman"/>
          <w:sz w:val="24"/>
          <w:szCs w:val="24"/>
        </w:rPr>
        <w:t xml:space="preserve"> należą:</w:t>
      </w:r>
    </w:p>
    <w:p w:rsidR="0004445A" w:rsidRDefault="008D3A45" w:rsidP="008D3A45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A45">
        <w:rPr>
          <w:rFonts w:ascii="Times New Roman" w:hAnsi="Times New Roman" w:cs="Times New Roman"/>
          <w:b/>
          <w:sz w:val="24"/>
          <w:szCs w:val="24"/>
        </w:rPr>
        <w:t xml:space="preserve">w zakresie ambulatoryjnej opieki specjalistycznej </w:t>
      </w:r>
      <w:r>
        <w:rPr>
          <w:rFonts w:ascii="Times New Roman" w:hAnsi="Times New Roman" w:cs="Times New Roman"/>
          <w:sz w:val="24"/>
          <w:szCs w:val="24"/>
        </w:rPr>
        <w:t>– najdłuższe czasy oczekiwania odnotowano do następujących, wybranych sp</w:t>
      </w:r>
      <w:r w:rsidR="004961F8">
        <w:rPr>
          <w:rFonts w:ascii="Times New Roman" w:hAnsi="Times New Roman" w:cs="Times New Roman"/>
          <w:sz w:val="24"/>
          <w:szCs w:val="24"/>
        </w:rPr>
        <w:t>ośród komórek organizacyjnych z </w:t>
      </w:r>
      <w:r>
        <w:rPr>
          <w:rFonts w:ascii="Times New Roman" w:hAnsi="Times New Roman" w:cs="Times New Roman"/>
          <w:sz w:val="24"/>
          <w:szCs w:val="24"/>
        </w:rPr>
        <w:t xml:space="preserve">największą w skali kraju liczbą osób </w:t>
      </w:r>
      <w:r w:rsidR="0004445A">
        <w:rPr>
          <w:rFonts w:ascii="Times New Roman" w:hAnsi="Times New Roman" w:cs="Times New Roman"/>
          <w:sz w:val="24"/>
          <w:szCs w:val="24"/>
        </w:rPr>
        <w:t xml:space="preserve">oczekujących, poradni specjalistycznych: </w:t>
      </w:r>
    </w:p>
    <w:p w:rsidR="0004445A" w:rsidRDefault="0004445A" w:rsidP="0004445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endokrynologicznych </w:t>
      </w:r>
      <w:r w:rsidR="001644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mediana średniego czasu oczekiwania na przyjęcie w trybie stabilnym przekraczała 200 dni, </w:t>
      </w:r>
    </w:p>
    <w:p w:rsidR="0004445A" w:rsidRDefault="0004445A" w:rsidP="0004445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chirurgii naczyniowej – mediana wynosiła 131 dni, </w:t>
      </w:r>
    </w:p>
    <w:p w:rsidR="0004445A" w:rsidRDefault="0004445A" w:rsidP="0004445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kardiologicznych – mediana wynosiła 106 dni, </w:t>
      </w:r>
    </w:p>
    <w:p w:rsidR="0004445A" w:rsidRDefault="0004445A" w:rsidP="0004445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gastroenterologicznych – mediana wynosiła 81 dni, </w:t>
      </w:r>
    </w:p>
    <w:p w:rsidR="0004445A" w:rsidRDefault="0004445A" w:rsidP="0004445A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okulistycz</w:t>
      </w:r>
      <w:r w:rsidR="00FC7276">
        <w:rPr>
          <w:rFonts w:ascii="Times New Roman" w:hAnsi="Times New Roman" w:cs="Times New Roman"/>
          <w:sz w:val="24"/>
          <w:szCs w:val="24"/>
        </w:rPr>
        <w:t>nych – mediana wynosiła 65 dni;</w:t>
      </w:r>
    </w:p>
    <w:p w:rsidR="0004445A" w:rsidRDefault="0004445A" w:rsidP="0004445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5A">
        <w:rPr>
          <w:rFonts w:ascii="Times New Roman" w:hAnsi="Times New Roman" w:cs="Times New Roman"/>
          <w:b/>
          <w:sz w:val="24"/>
          <w:szCs w:val="24"/>
        </w:rPr>
        <w:t>w zakresie leczenia szpitalnego</w:t>
      </w:r>
      <w:r>
        <w:rPr>
          <w:rFonts w:ascii="Times New Roman" w:hAnsi="Times New Roman" w:cs="Times New Roman"/>
          <w:sz w:val="24"/>
          <w:szCs w:val="24"/>
        </w:rPr>
        <w:t xml:space="preserve"> – do oddziałów szpitalnych, do których oczekiwało najwięcej w skali kraju osób, najdłuższe czasy oczekiwania odnotowano do oddziałów:</w:t>
      </w:r>
    </w:p>
    <w:p w:rsidR="0004445A" w:rsidRDefault="0004445A" w:rsidP="0004445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chirurgii urazowo-ortopedycznej – mediana średniego rzeczywistego czasu oczekiwania wyniosła 151 dni, </w:t>
      </w:r>
    </w:p>
    <w:p w:rsidR="0004445A" w:rsidRDefault="00C56F47" w:rsidP="0004445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</w:t>
      </w:r>
      <w:r w:rsidR="0004445A">
        <w:rPr>
          <w:rFonts w:ascii="Times New Roman" w:hAnsi="Times New Roman" w:cs="Times New Roman"/>
          <w:sz w:val="24"/>
          <w:szCs w:val="24"/>
        </w:rPr>
        <w:t xml:space="preserve">laryngologicznych dla dzieci – mediana wynosiła 149 dni, </w:t>
      </w:r>
    </w:p>
    <w:p w:rsidR="0004445A" w:rsidRDefault="00C56F47" w:rsidP="0004445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</w:t>
      </w:r>
      <w:r w:rsidR="0004445A" w:rsidRPr="0004445A">
        <w:rPr>
          <w:rFonts w:ascii="Times New Roman" w:hAnsi="Times New Roman" w:cs="Times New Roman"/>
          <w:sz w:val="24"/>
          <w:szCs w:val="24"/>
        </w:rPr>
        <w:t xml:space="preserve">laryngologicznych </w:t>
      </w:r>
      <w:r w:rsidR="0004445A">
        <w:rPr>
          <w:rFonts w:ascii="Times New Roman" w:hAnsi="Times New Roman" w:cs="Times New Roman"/>
          <w:sz w:val="24"/>
          <w:szCs w:val="24"/>
        </w:rPr>
        <w:t xml:space="preserve">– mediana wynosiła 144 dni, </w:t>
      </w:r>
    </w:p>
    <w:p w:rsidR="0004445A" w:rsidRDefault="0004445A" w:rsidP="0004445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neurochirurgicznych – mediana wynosiła 117 dni, </w:t>
      </w:r>
    </w:p>
    <w:p w:rsidR="0048243A" w:rsidRDefault="0004445A" w:rsidP="0004445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reumatologicznych – mediana wynosiła </w:t>
      </w:r>
      <w:r w:rsidR="00FC7276">
        <w:rPr>
          <w:rFonts w:ascii="Times New Roman" w:hAnsi="Times New Roman" w:cs="Times New Roman"/>
          <w:sz w:val="24"/>
          <w:szCs w:val="24"/>
        </w:rPr>
        <w:t>74 dni</w:t>
      </w:r>
      <w:r w:rsidR="0048243A">
        <w:rPr>
          <w:rFonts w:ascii="Times New Roman" w:hAnsi="Times New Roman" w:cs="Times New Roman"/>
          <w:sz w:val="24"/>
          <w:szCs w:val="24"/>
        </w:rPr>
        <w:t>;</w:t>
      </w:r>
    </w:p>
    <w:p w:rsidR="0048243A" w:rsidRDefault="0048243A" w:rsidP="004824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3A">
        <w:rPr>
          <w:rFonts w:ascii="Times New Roman" w:hAnsi="Times New Roman" w:cs="Times New Roman"/>
          <w:b/>
          <w:sz w:val="24"/>
          <w:szCs w:val="24"/>
        </w:rPr>
        <w:t>w zakresie rehabilitacji leczniczej</w:t>
      </w:r>
      <w:r>
        <w:rPr>
          <w:rFonts w:ascii="Times New Roman" w:hAnsi="Times New Roman" w:cs="Times New Roman"/>
          <w:sz w:val="24"/>
          <w:szCs w:val="24"/>
        </w:rPr>
        <w:t xml:space="preserve"> – czasy oczekiwania na świadczenia z zakresu rehabilitacji należą do jednych z najdłuższych – najtrudniej dostępne są świadczenia oddziału rehabilitacji i oddziału rehabilitacji narządu ruchu, dla których mediana średniego czasu oczekiwania na przyjęcie w trybie stabilnym na oddział r</w:t>
      </w:r>
      <w:r w:rsidR="00FC7276">
        <w:rPr>
          <w:rFonts w:ascii="Times New Roman" w:hAnsi="Times New Roman" w:cs="Times New Roman"/>
          <w:sz w:val="24"/>
          <w:szCs w:val="24"/>
        </w:rPr>
        <w:t>ehabilitacji przekracza 400 dni;</w:t>
      </w:r>
    </w:p>
    <w:p w:rsidR="0048243A" w:rsidRDefault="0048243A" w:rsidP="004824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zakresie leczenia stomatologicznego </w:t>
      </w:r>
      <w:r>
        <w:rPr>
          <w:rFonts w:ascii="Times New Roman" w:hAnsi="Times New Roman" w:cs="Times New Roman"/>
          <w:sz w:val="24"/>
          <w:szCs w:val="24"/>
        </w:rPr>
        <w:t>– do komórek organizacyjnych realizujących świadczenia stomatologiczne</w:t>
      </w:r>
      <w:r w:rsidR="001D15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których oczekiwało najwięcej w skali kraju osób, najdłuższe czasy oczekiwania odnotowano do: poradni ortodontycznych dla dzieci, poradni ortodontycznych, poradni chirurgii stomatologicznej, poradni stomatologicznych i poradni protetyki stomatologicznej. Mediana średniego rze</w:t>
      </w:r>
      <w:r w:rsidR="001D15BF">
        <w:rPr>
          <w:rFonts w:ascii="Times New Roman" w:hAnsi="Times New Roman" w:cs="Times New Roman"/>
          <w:sz w:val="24"/>
          <w:szCs w:val="24"/>
        </w:rPr>
        <w:t>czywistego czasu oczekiwania do </w:t>
      </w:r>
      <w:r>
        <w:rPr>
          <w:rFonts w:ascii="Times New Roman" w:hAnsi="Times New Roman" w:cs="Times New Roman"/>
          <w:sz w:val="24"/>
          <w:szCs w:val="24"/>
        </w:rPr>
        <w:t>poradni ortodontycznych dla dzieci dla kategorii medycznej „przy</w:t>
      </w:r>
      <w:r w:rsidR="00FC7276">
        <w:rPr>
          <w:rFonts w:ascii="Times New Roman" w:hAnsi="Times New Roman" w:cs="Times New Roman"/>
          <w:sz w:val="24"/>
          <w:szCs w:val="24"/>
        </w:rPr>
        <w:t>padek stabilny” wyniosła 55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4EF" w:rsidRDefault="001E14EF" w:rsidP="001E14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chodzi o trudności w dostępie do świadczeń do pora</w:t>
      </w:r>
      <w:r w:rsidR="001D15BF">
        <w:rPr>
          <w:rFonts w:ascii="Times New Roman" w:hAnsi="Times New Roman" w:cs="Times New Roman"/>
          <w:sz w:val="24"/>
          <w:szCs w:val="24"/>
        </w:rPr>
        <w:t>dni i oddziałów dziecięcych, to </w:t>
      </w:r>
      <w:r>
        <w:rPr>
          <w:rFonts w:ascii="Times New Roman" w:hAnsi="Times New Roman" w:cs="Times New Roman"/>
          <w:sz w:val="24"/>
          <w:szCs w:val="24"/>
        </w:rPr>
        <w:t>analizując dostępność do komórek organizacyjnych udzielających świadczeń dzieciom</w:t>
      </w:r>
      <w:r w:rsidR="004961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obserwuje się zakresy, w których czas oczekiwania dla dzieci zakwalifikowanych jako </w:t>
      </w:r>
      <w:r w:rsidR="001644B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przypadek stabilny</w:t>
      </w:r>
      <w:r w:rsidR="001644B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przekracza 3 miesiące. Są to komórki z zakresu:</w:t>
      </w:r>
    </w:p>
    <w:p w:rsidR="00521823" w:rsidRPr="00521823" w:rsidRDefault="001E14EF" w:rsidP="001E14E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23">
        <w:rPr>
          <w:rFonts w:ascii="Times New Roman" w:hAnsi="Times New Roman" w:cs="Times New Roman"/>
          <w:b/>
          <w:sz w:val="24"/>
          <w:szCs w:val="24"/>
        </w:rPr>
        <w:t>ambulatoryjnej opieki specjalistycznej</w:t>
      </w:r>
      <w:r w:rsidR="00521823">
        <w:rPr>
          <w:rFonts w:ascii="Times New Roman" w:hAnsi="Times New Roman" w:cs="Times New Roman"/>
          <w:b/>
          <w:sz w:val="24"/>
          <w:szCs w:val="24"/>
        </w:rPr>
        <w:t>:</w:t>
      </w:r>
    </w:p>
    <w:p w:rsidR="00FC7276" w:rsidRDefault="00521823" w:rsidP="00AA545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76">
        <w:rPr>
          <w:rFonts w:ascii="Times New Roman" w:hAnsi="Times New Roman" w:cs="Times New Roman"/>
          <w:sz w:val="24"/>
          <w:szCs w:val="24"/>
        </w:rPr>
        <w:t xml:space="preserve">poradni genetycznej dla dzieci – mediana średniego czasu oczekiwania 224 dni, </w:t>
      </w:r>
    </w:p>
    <w:p w:rsidR="00521823" w:rsidRPr="00FC7276" w:rsidRDefault="00521823" w:rsidP="00AA545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76">
        <w:rPr>
          <w:rFonts w:ascii="Times New Roman" w:hAnsi="Times New Roman" w:cs="Times New Roman"/>
          <w:sz w:val="24"/>
          <w:szCs w:val="24"/>
        </w:rPr>
        <w:t xml:space="preserve">poradni endokrynologicznej dla dzieci – mediana </w:t>
      </w:r>
      <w:r w:rsidR="004961F8">
        <w:rPr>
          <w:rFonts w:ascii="Times New Roman" w:hAnsi="Times New Roman" w:cs="Times New Roman"/>
          <w:sz w:val="24"/>
          <w:szCs w:val="24"/>
        </w:rPr>
        <w:t>średniego czasu oczekiwania 181 </w:t>
      </w:r>
      <w:r w:rsidRPr="00FC7276">
        <w:rPr>
          <w:rFonts w:ascii="Times New Roman" w:hAnsi="Times New Roman" w:cs="Times New Roman"/>
          <w:sz w:val="24"/>
          <w:szCs w:val="24"/>
        </w:rPr>
        <w:t xml:space="preserve">dni, </w:t>
      </w:r>
    </w:p>
    <w:p w:rsidR="00521823" w:rsidRDefault="00521823" w:rsidP="005218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poradni immunologicznej dla dzieci – mediana średniego czasu oczekiwania 165 dni, </w:t>
      </w:r>
    </w:p>
    <w:p w:rsidR="00521823" w:rsidRDefault="00521823" w:rsidP="005218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 gastroenterologicznej dla dzieci – mediana śred</w:t>
      </w:r>
      <w:r w:rsidR="004961F8">
        <w:rPr>
          <w:rFonts w:ascii="Times New Roman" w:hAnsi="Times New Roman" w:cs="Times New Roman"/>
          <w:sz w:val="24"/>
          <w:szCs w:val="24"/>
        </w:rPr>
        <w:t>niego czasu oczekiwania 108 </w:t>
      </w:r>
      <w:r w:rsidR="00FC7276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1823" w:rsidRPr="00521823" w:rsidRDefault="00521823" w:rsidP="0052182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23">
        <w:rPr>
          <w:rFonts w:ascii="Times New Roman" w:hAnsi="Times New Roman" w:cs="Times New Roman"/>
          <w:b/>
          <w:sz w:val="24"/>
          <w:szCs w:val="24"/>
        </w:rPr>
        <w:t>leczenia szpitalnego:</w:t>
      </w:r>
    </w:p>
    <w:p w:rsidR="00521823" w:rsidRDefault="00521823" w:rsidP="0052182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oddziału otolaryngologicznego dla dzieci – mediana </w:t>
      </w:r>
      <w:r w:rsidR="004961F8">
        <w:rPr>
          <w:rFonts w:ascii="Times New Roman" w:hAnsi="Times New Roman" w:cs="Times New Roman"/>
          <w:sz w:val="24"/>
          <w:szCs w:val="24"/>
        </w:rPr>
        <w:t>średniego czasu oczekiwania 149 </w:t>
      </w:r>
      <w:r>
        <w:rPr>
          <w:rFonts w:ascii="Times New Roman" w:hAnsi="Times New Roman" w:cs="Times New Roman"/>
          <w:sz w:val="24"/>
          <w:szCs w:val="24"/>
        </w:rPr>
        <w:t xml:space="preserve">dni, </w:t>
      </w:r>
    </w:p>
    <w:p w:rsidR="00521823" w:rsidRDefault="00521823" w:rsidP="0052182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oddziału chirurgii szczękowo-twarzowej dla dzieci – mediana średniego czasu oczekiwania 123 dni, </w:t>
      </w:r>
    </w:p>
    <w:p w:rsidR="00521823" w:rsidRDefault="00521823" w:rsidP="0052182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oddziału odwykowego o wzmocnionym zabezpieczeniu dla dzieci – mediana średniego czasu oczekiwania 97 dni, </w:t>
      </w:r>
    </w:p>
    <w:p w:rsidR="001E14EF" w:rsidRPr="00521823" w:rsidRDefault="00521823" w:rsidP="0052182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oddziału urologicznego dla dzieci – mediana śred</w:t>
      </w:r>
      <w:r w:rsidR="00FC7276">
        <w:rPr>
          <w:rFonts w:ascii="Times New Roman" w:hAnsi="Times New Roman" w:cs="Times New Roman"/>
          <w:sz w:val="24"/>
          <w:szCs w:val="24"/>
        </w:rPr>
        <w:t>niego czasu oczekiwania 94 dni.</w:t>
      </w:r>
    </w:p>
    <w:p w:rsidR="0048243A" w:rsidRDefault="0048243A" w:rsidP="004824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miejscu należy także zaznaczenia wymaga, iż w odniesieniu do świadczeń, na które prowadzone są odrębne listy oczekujących, najdłuższe czasy oczekiwania dotyczą świadczeń:</w:t>
      </w:r>
    </w:p>
    <w:p w:rsidR="000B2FE0" w:rsidRDefault="0048243A" w:rsidP="004824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43A">
        <w:rPr>
          <w:rFonts w:ascii="Times New Roman" w:hAnsi="Times New Roman" w:cs="Times New Roman"/>
          <w:b/>
          <w:sz w:val="24"/>
          <w:szCs w:val="24"/>
        </w:rPr>
        <w:t>w zakresie soczewki (zaćma)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F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FE0">
        <w:rPr>
          <w:rFonts w:ascii="Times New Roman" w:hAnsi="Times New Roman" w:cs="Times New Roman"/>
          <w:sz w:val="24"/>
          <w:szCs w:val="24"/>
        </w:rPr>
        <w:t>w przypadku której dla kategorii medycznej „przypadek stabilny” mediana średniego rzeczy</w:t>
      </w:r>
      <w:r w:rsidR="00FC7276">
        <w:rPr>
          <w:rFonts w:ascii="Times New Roman" w:hAnsi="Times New Roman" w:cs="Times New Roman"/>
          <w:sz w:val="24"/>
          <w:szCs w:val="24"/>
        </w:rPr>
        <w:t xml:space="preserve">wistego czasu </w:t>
      </w:r>
      <w:r w:rsidR="001644B5">
        <w:rPr>
          <w:rFonts w:ascii="Times New Roman" w:hAnsi="Times New Roman" w:cs="Times New Roman"/>
          <w:sz w:val="24"/>
          <w:szCs w:val="24"/>
        </w:rPr>
        <w:t xml:space="preserve">oczekiwania </w:t>
      </w:r>
      <w:r w:rsidR="00FC7276">
        <w:rPr>
          <w:rFonts w:ascii="Times New Roman" w:hAnsi="Times New Roman" w:cs="Times New Roman"/>
          <w:sz w:val="24"/>
          <w:szCs w:val="24"/>
        </w:rPr>
        <w:t xml:space="preserve">wyniosła 585 dni, </w:t>
      </w:r>
      <w:r w:rsidR="000B2FE0">
        <w:rPr>
          <w:rFonts w:ascii="Times New Roman" w:hAnsi="Times New Roman" w:cs="Times New Roman"/>
          <w:sz w:val="24"/>
          <w:szCs w:val="24"/>
        </w:rPr>
        <w:t>przy jednoczesnej bardzo dużej licz</w:t>
      </w:r>
      <w:r w:rsidR="00810EE7">
        <w:rPr>
          <w:rFonts w:ascii="Times New Roman" w:hAnsi="Times New Roman" w:cs="Times New Roman"/>
          <w:sz w:val="24"/>
          <w:szCs w:val="24"/>
        </w:rPr>
        <w:t>bie oczekujących (540.667 osób);</w:t>
      </w:r>
    </w:p>
    <w:p w:rsidR="000B2FE0" w:rsidRDefault="000B2FE0" w:rsidP="004824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endoprotezoplastyki stawowej </w:t>
      </w:r>
      <w:r>
        <w:rPr>
          <w:rFonts w:ascii="Times New Roman" w:hAnsi="Times New Roman" w:cs="Times New Roman"/>
          <w:sz w:val="24"/>
          <w:szCs w:val="24"/>
        </w:rPr>
        <w:t>– mediana średniego rzeczywistego czasu oczekiwania dla kategorii medycznej „przypadek stabilny” dla endoprotezopla</w:t>
      </w:r>
      <w:r w:rsidR="00FC7276">
        <w:rPr>
          <w:rFonts w:ascii="Times New Roman" w:hAnsi="Times New Roman" w:cs="Times New Roman"/>
          <w:sz w:val="24"/>
          <w:szCs w:val="24"/>
        </w:rPr>
        <w:t xml:space="preserve">styki stawu kolanowego 542 dni, </w:t>
      </w:r>
      <w:r>
        <w:rPr>
          <w:rFonts w:ascii="Times New Roman" w:hAnsi="Times New Roman" w:cs="Times New Roman"/>
          <w:sz w:val="24"/>
          <w:szCs w:val="24"/>
        </w:rPr>
        <w:t>a dla endoprotezopla</w:t>
      </w:r>
      <w:r w:rsidR="00FC7276">
        <w:rPr>
          <w:rFonts w:ascii="Times New Roman" w:hAnsi="Times New Roman" w:cs="Times New Roman"/>
          <w:sz w:val="24"/>
          <w:szCs w:val="24"/>
        </w:rPr>
        <w:t xml:space="preserve">styki stawu biodrowego 460 dni, </w:t>
      </w:r>
      <w:r>
        <w:rPr>
          <w:rFonts w:ascii="Times New Roman" w:hAnsi="Times New Roman" w:cs="Times New Roman"/>
          <w:sz w:val="24"/>
          <w:szCs w:val="24"/>
        </w:rPr>
        <w:t>przy jednocześnie bardzo dużej liczbie osób oczeku</w:t>
      </w:r>
      <w:r w:rsidR="00810EE7">
        <w:rPr>
          <w:rFonts w:ascii="Times New Roman" w:hAnsi="Times New Roman" w:cs="Times New Roman"/>
          <w:sz w:val="24"/>
          <w:szCs w:val="24"/>
        </w:rPr>
        <w:t>jących (114.137 i 104.959 osób);</w:t>
      </w:r>
    </w:p>
    <w:p w:rsidR="000B2FE0" w:rsidRDefault="000B2FE0" w:rsidP="004824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świadczeń diagnostyki </w:t>
      </w:r>
      <w:r w:rsidR="001E14EF">
        <w:rPr>
          <w:rFonts w:ascii="Times New Roman" w:hAnsi="Times New Roman" w:cs="Times New Roman"/>
          <w:b/>
          <w:sz w:val="24"/>
          <w:szCs w:val="24"/>
        </w:rPr>
        <w:t>rezonansu</w:t>
      </w:r>
      <w:r>
        <w:rPr>
          <w:rFonts w:ascii="Times New Roman" w:hAnsi="Times New Roman" w:cs="Times New Roman"/>
          <w:b/>
          <w:sz w:val="24"/>
          <w:szCs w:val="24"/>
        </w:rPr>
        <w:t xml:space="preserve"> magnetycznego </w:t>
      </w:r>
      <w:r>
        <w:rPr>
          <w:rFonts w:ascii="Times New Roman" w:hAnsi="Times New Roman" w:cs="Times New Roman"/>
          <w:sz w:val="24"/>
          <w:szCs w:val="24"/>
        </w:rPr>
        <w:t>– 332.330 osób oczekujących przy medianie średniego czasu oczekiwania 193 dni</w:t>
      </w:r>
      <w:r w:rsidR="001644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0B2FE0">
        <w:rPr>
          <w:rFonts w:ascii="Times New Roman" w:hAnsi="Times New Roman" w:cs="Times New Roman"/>
          <w:b/>
          <w:sz w:val="24"/>
          <w:szCs w:val="24"/>
        </w:rPr>
        <w:t>tomografii komputerowej</w:t>
      </w:r>
      <w:r w:rsidR="004961F8">
        <w:rPr>
          <w:rFonts w:ascii="Times New Roman" w:hAnsi="Times New Roman" w:cs="Times New Roman"/>
          <w:sz w:val="24"/>
          <w:szCs w:val="24"/>
        </w:rPr>
        <w:t xml:space="preserve"> – 178.994 </w:t>
      </w:r>
      <w:r>
        <w:rPr>
          <w:rFonts w:ascii="Times New Roman" w:hAnsi="Times New Roman" w:cs="Times New Roman"/>
          <w:sz w:val="24"/>
          <w:szCs w:val="24"/>
        </w:rPr>
        <w:t>osób oczekujących przy medianie średniego czasu oczekiwania 7</w:t>
      </w:r>
      <w:r w:rsidR="00FC7276">
        <w:rPr>
          <w:rFonts w:ascii="Times New Roman" w:hAnsi="Times New Roman" w:cs="Times New Roman"/>
          <w:sz w:val="24"/>
          <w:szCs w:val="24"/>
        </w:rPr>
        <w:t>0 dni</w:t>
      </w:r>
      <w:r w:rsidR="00810EE7">
        <w:rPr>
          <w:rFonts w:ascii="Times New Roman" w:hAnsi="Times New Roman" w:cs="Times New Roman"/>
          <w:sz w:val="24"/>
          <w:szCs w:val="24"/>
        </w:rPr>
        <w:t>;</w:t>
      </w:r>
    </w:p>
    <w:p w:rsidR="000B2FE0" w:rsidRDefault="000B2FE0" w:rsidP="004824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FE0">
        <w:rPr>
          <w:rFonts w:ascii="Times New Roman" w:hAnsi="Times New Roman" w:cs="Times New Roman"/>
          <w:b/>
          <w:sz w:val="24"/>
          <w:szCs w:val="24"/>
        </w:rPr>
        <w:t>programów lekowych</w:t>
      </w:r>
      <w:r>
        <w:rPr>
          <w:rFonts w:ascii="Times New Roman" w:hAnsi="Times New Roman" w:cs="Times New Roman"/>
          <w:sz w:val="24"/>
          <w:szCs w:val="24"/>
        </w:rPr>
        <w:t xml:space="preserve"> – najwięcej osób i najdłużej oczekiwano na program leczenia przewlekłego wirusowego zapalenia wątroby typu C terapią </w:t>
      </w:r>
      <w:proofErr w:type="spellStart"/>
      <w:r>
        <w:rPr>
          <w:rFonts w:ascii="Times New Roman" w:hAnsi="Times New Roman" w:cs="Times New Roman"/>
          <w:sz w:val="24"/>
          <w:szCs w:val="24"/>
        </w:rPr>
        <w:t>bezinterferonową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liście oczekujących na ten program lekowy według stanu na koniec grudnia 2016 r. znajdowało </w:t>
      </w:r>
      <w:r>
        <w:rPr>
          <w:rFonts w:ascii="Times New Roman" w:hAnsi="Times New Roman" w:cs="Times New Roman"/>
          <w:sz w:val="24"/>
          <w:szCs w:val="24"/>
        </w:rPr>
        <w:lastRenderedPageBreak/>
        <w:t>się 9.788 osób, a mediana średniego rzeczywistego czasu oczekiw</w:t>
      </w:r>
      <w:r w:rsidR="001D15BF">
        <w:rPr>
          <w:rFonts w:ascii="Times New Roman" w:hAnsi="Times New Roman" w:cs="Times New Roman"/>
          <w:sz w:val="24"/>
          <w:szCs w:val="24"/>
        </w:rPr>
        <w:t>ania wyniosła 43 dni dla </w:t>
      </w:r>
      <w:r>
        <w:rPr>
          <w:rFonts w:ascii="Times New Roman" w:hAnsi="Times New Roman" w:cs="Times New Roman"/>
          <w:sz w:val="24"/>
          <w:szCs w:val="24"/>
        </w:rPr>
        <w:t>kategorii medycznej „przypadek stab</w:t>
      </w:r>
      <w:r w:rsidR="00FC7276">
        <w:rPr>
          <w:rFonts w:ascii="Times New Roman" w:hAnsi="Times New Roman" w:cs="Times New Roman"/>
          <w:sz w:val="24"/>
          <w:szCs w:val="24"/>
        </w:rPr>
        <w:t>ilny”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2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833" w:rsidRDefault="000B2FE0" w:rsidP="000B2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FE0">
        <w:rPr>
          <w:rFonts w:ascii="Times New Roman" w:hAnsi="Times New Roman" w:cs="Times New Roman"/>
          <w:sz w:val="24"/>
          <w:szCs w:val="24"/>
        </w:rPr>
        <w:t>Przedstawiając powyższe</w:t>
      </w:r>
      <w:r w:rsidR="004961F8">
        <w:rPr>
          <w:rFonts w:ascii="Times New Roman" w:hAnsi="Times New Roman" w:cs="Times New Roman"/>
          <w:sz w:val="24"/>
          <w:szCs w:val="24"/>
        </w:rPr>
        <w:t>,</w:t>
      </w:r>
      <w:r w:rsidR="00C94833">
        <w:rPr>
          <w:rFonts w:ascii="Times New Roman" w:hAnsi="Times New Roman" w:cs="Times New Roman"/>
          <w:sz w:val="24"/>
          <w:szCs w:val="24"/>
        </w:rPr>
        <w:t xml:space="preserve"> przy analiz</w:t>
      </w:r>
      <w:r w:rsidR="00805842">
        <w:rPr>
          <w:rFonts w:ascii="Times New Roman" w:hAnsi="Times New Roman" w:cs="Times New Roman"/>
          <w:sz w:val="24"/>
          <w:szCs w:val="24"/>
        </w:rPr>
        <w:t>ie list oczekujących na udzielenie świadczenia opieki zdrowotnej</w:t>
      </w:r>
      <w:r w:rsidR="009C3744">
        <w:rPr>
          <w:rFonts w:ascii="Times New Roman" w:hAnsi="Times New Roman" w:cs="Times New Roman"/>
          <w:sz w:val="24"/>
          <w:szCs w:val="24"/>
        </w:rPr>
        <w:t xml:space="preserve"> należy również wziąć</w:t>
      </w:r>
      <w:r w:rsidR="00C94833">
        <w:rPr>
          <w:rFonts w:ascii="Times New Roman" w:hAnsi="Times New Roman" w:cs="Times New Roman"/>
          <w:sz w:val="24"/>
          <w:szCs w:val="24"/>
        </w:rPr>
        <w:t xml:space="preserve"> pod uwagę komórki or</w:t>
      </w:r>
      <w:r w:rsidR="001D15BF">
        <w:rPr>
          <w:rFonts w:ascii="Times New Roman" w:hAnsi="Times New Roman" w:cs="Times New Roman"/>
          <w:sz w:val="24"/>
          <w:szCs w:val="24"/>
        </w:rPr>
        <w:t>ganizacyjne oraz świadczenia, w </w:t>
      </w:r>
      <w:r w:rsidR="00C94833">
        <w:rPr>
          <w:rFonts w:ascii="Times New Roman" w:hAnsi="Times New Roman" w:cs="Times New Roman"/>
          <w:sz w:val="24"/>
          <w:szCs w:val="24"/>
        </w:rPr>
        <w:t>przypadku których nastąpiła w okresie od grudnia 2015 r. do grudnia 2016 r. zmian</w:t>
      </w:r>
      <w:r w:rsidR="001644B5">
        <w:rPr>
          <w:rFonts w:ascii="Times New Roman" w:hAnsi="Times New Roman" w:cs="Times New Roman"/>
          <w:sz w:val="24"/>
          <w:szCs w:val="24"/>
        </w:rPr>
        <w:t>a</w:t>
      </w:r>
      <w:r w:rsidR="00C94833">
        <w:rPr>
          <w:rFonts w:ascii="Times New Roman" w:hAnsi="Times New Roman" w:cs="Times New Roman"/>
          <w:sz w:val="24"/>
          <w:szCs w:val="24"/>
        </w:rPr>
        <w:t xml:space="preserve"> liczby osób oczekujących o co najmniej 10 tys. osób – analiza ta pokazuje, że jedynie w przypadku jednej listy (do poradni stomatologicznych) odnotowano sp</w:t>
      </w:r>
      <w:r w:rsidR="001D15BF">
        <w:rPr>
          <w:rFonts w:ascii="Times New Roman" w:hAnsi="Times New Roman" w:cs="Times New Roman"/>
          <w:sz w:val="24"/>
          <w:szCs w:val="24"/>
        </w:rPr>
        <w:t>adek liczby osób oczekujących o </w:t>
      </w:r>
      <w:r w:rsidR="00C94833">
        <w:rPr>
          <w:rFonts w:ascii="Times New Roman" w:hAnsi="Times New Roman" w:cs="Times New Roman"/>
          <w:sz w:val="24"/>
          <w:szCs w:val="24"/>
        </w:rPr>
        <w:t>14.991 osób. W przypadku pozostałych, wzrost ten kształtuje się następująco:</w:t>
      </w:r>
    </w:p>
    <w:p w:rsidR="00C94833" w:rsidRDefault="00C94833" w:rsidP="00C948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33">
        <w:rPr>
          <w:rFonts w:ascii="Times New Roman" w:hAnsi="Times New Roman" w:cs="Times New Roman"/>
          <w:b/>
          <w:sz w:val="24"/>
          <w:szCs w:val="24"/>
        </w:rPr>
        <w:t>działy (pracownie) fizjoterapii</w:t>
      </w:r>
      <w:r w:rsidR="00805842">
        <w:rPr>
          <w:rFonts w:ascii="Times New Roman" w:hAnsi="Times New Roman" w:cs="Times New Roman"/>
          <w:sz w:val="24"/>
          <w:szCs w:val="24"/>
        </w:rPr>
        <w:t xml:space="preserve"> – wzrost o 86.449 osób;</w:t>
      </w:r>
    </w:p>
    <w:p w:rsidR="00C94833" w:rsidRDefault="00C94833" w:rsidP="00C948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33">
        <w:rPr>
          <w:rFonts w:ascii="Times New Roman" w:hAnsi="Times New Roman" w:cs="Times New Roman"/>
          <w:b/>
          <w:sz w:val="24"/>
          <w:szCs w:val="24"/>
        </w:rPr>
        <w:t>świadczenia rezonansu</w:t>
      </w:r>
      <w:r w:rsidR="00805842">
        <w:rPr>
          <w:rFonts w:ascii="Times New Roman" w:hAnsi="Times New Roman" w:cs="Times New Roman"/>
          <w:sz w:val="24"/>
          <w:szCs w:val="24"/>
        </w:rPr>
        <w:t xml:space="preserve"> – wzrost o 40.483 os</w:t>
      </w:r>
      <w:r w:rsidR="001644B5">
        <w:rPr>
          <w:rFonts w:ascii="Times New Roman" w:hAnsi="Times New Roman" w:cs="Times New Roman"/>
          <w:sz w:val="24"/>
          <w:szCs w:val="24"/>
        </w:rPr>
        <w:t>o</w:t>
      </w:r>
      <w:r w:rsidR="00805842">
        <w:rPr>
          <w:rFonts w:ascii="Times New Roman" w:hAnsi="Times New Roman" w:cs="Times New Roman"/>
          <w:sz w:val="24"/>
          <w:szCs w:val="24"/>
        </w:rPr>
        <w:t>b</w:t>
      </w:r>
      <w:r w:rsidR="001644B5">
        <w:rPr>
          <w:rFonts w:ascii="Times New Roman" w:hAnsi="Times New Roman" w:cs="Times New Roman"/>
          <w:sz w:val="24"/>
          <w:szCs w:val="24"/>
        </w:rPr>
        <w:t>y</w:t>
      </w:r>
      <w:r w:rsidR="00805842">
        <w:rPr>
          <w:rFonts w:ascii="Times New Roman" w:hAnsi="Times New Roman" w:cs="Times New Roman"/>
          <w:sz w:val="24"/>
          <w:szCs w:val="24"/>
        </w:rPr>
        <w:t>;</w:t>
      </w:r>
    </w:p>
    <w:p w:rsidR="00C94833" w:rsidRDefault="00C94833" w:rsidP="00C948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świadczenia tomografii </w:t>
      </w:r>
      <w:r w:rsidR="00805842">
        <w:rPr>
          <w:rFonts w:ascii="Times New Roman" w:hAnsi="Times New Roman" w:cs="Times New Roman"/>
          <w:sz w:val="24"/>
          <w:szCs w:val="24"/>
        </w:rPr>
        <w:t>– wzrost o 27.613 osób;</w:t>
      </w:r>
    </w:p>
    <w:p w:rsidR="00C94833" w:rsidRDefault="00C94833" w:rsidP="00C948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ośrodki rehabilitacji </w:t>
      </w:r>
      <w:r w:rsidR="00805842">
        <w:rPr>
          <w:rFonts w:ascii="Times New Roman" w:hAnsi="Times New Roman" w:cs="Times New Roman"/>
          <w:sz w:val="24"/>
          <w:szCs w:val="24"/>
        </w:rPr>
        <w:t>– wzrost o 15.499 osób;</w:t>
      </w:r>
    </w:p>
    <w:p w:rsidR="00C94833" w:rsidRDefault="00C94833" w:rsidP="00C948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pracownie endoskopii </w:t>
      </w:r>
      <w:r w:rsidR="00805842">
        <w:rPr>
          <w:rFonts w:ascii="Times New Roman" w:hAnsi="Times New Roman" w:cs="Times New Roman"/>
          <w:sz w:val="24"/>
          <w:szCs w:val="24"/>
        </w:rPr>
        <w:t>– wzrost o 15.372 os</w:t>
      </w:r>
      <w:r w:rsidR="001644B5">
        <w:rPr>
          <w:rFonts w:ascii="Times New Roman" w:hAnsi="Times New Roman" w:cs="Times New Roman"/>
          <w:sz w:val="24"/>
          <w:szCs w:val="24"/>
        </w:rPr>
        <w:t>o</w:t>
      </w:r>
      <w:r w:rsidR="00805842">
        <w:rPr>
          <w:rFonts w:ascii="Times New Roman" w:hAnsi="Times New Roman" w:cs="Times New Roman"/>
          <w:sz w:val="24"/>
          <w:szCs w:val="24"/>
        </w:rPr>
        <w:t>b</w:t>
      </w:r>
      <w:r w:rsidR="001644B5">
        <w:rPr>
          <w:rFonts w:ascii="Times New Roman" w:hAnsi="Times New Roman" w:cs="Times New Roman"/>
          <w:sz w:val="24"/>
          <w:szCs w:val="24"/>
        </w:rPr>
        <w:t>y</w:t>
      </w:r>
      <w:r w:rsidR="00805842">
        <w:rPr>
          <w:rFonts w:ascii="Times New Roman" w:hAnsi="Times New Roman" w:cs="Times New Roman"/>
          <w:sz w:val="24"/>
          <w:szCs w:val="24"/>
        </w:rPr>
        <w:t>;</w:t>
      </w:r>
    </w:p>
    <w:p w:rsidR="00C94833" w:rsidRDefault="00C94833" w:rsidP="00C948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33">
        <w:rPr>
          <w:rFonts w:ascii="Times New Roman" w:hAnsi="Times New Roman" w:cs="Times New Roman"/>
          <w:b/>
          <w:sz w:val="24"/>
          <w:szCs w:val="24"/>
        </w:rPr>
        <w:t>poradnie neurologiczne</w:t>
      </w:r>
      <w:r w:rsidR="00296630">
        <w:rPr>
          <w:rFonts w:ascii="Times New Roman" w:hAnsi="Times New Roman" w:cs="Times New Roman"/>
          <w:sz w:val="24"/>
          <w:szCs w:val="24"/>
        </w:rPr>
        <w:t xml:space="preserve"> – wzrost o 14.191 osób;</w:t>
      </w:r>
    </w:p>
    <w:p w:rsidR="001E14EF" w:rsidRDefault="00C94833" w:rsidP="00C948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33">
        <w:rPr>
          <w:rFonts w:ascii="Times New Roman" w:hAnsi="Times New Roman" w:cs="Times New Roman"/>
          <w:b/>
          <w:sz w:val="24"/>
          <w:szCs w:val="24"/>
        </w:rPr>
        <w:t>poradnie endokrynologiczne</w:t>
      </w:r>
      <w:r w:rsidRPr="001E14EF">
        <w:rPr>
          <w:rFonts w:ascii="Times New Roman" w:hAnsi="Times New Roman" w:cs="Times New Roman"/>
          <w:sz w:val="24"/>
          <w:szCs w:val="24"/>
        </w:rPr>
        <w:t xml:space="preserve"> </w:t>
      </w:r>
      <w:r w:rsidR="001E14EF" w:rsidRPr="001E14EF">
        <w:rPr>
          <w:rFonts w:ascii="Times New Roman" w:hAnsi="Times New Roman" w:cs="Times New Roman"/>
          <w:sz w:val="24"/>
          <w:szCs w:val="24"/>
        </w:rPr>
        <w:t>–</w:t>
      </w:r>
      <w:r w:rsidRPr="001E14EF">
        <w:rPr>
          <w:rFonts w:ascii="Times New Roman" w:hAnsi="Times New Roman" w:cs="Times New Roman"/>
          <w:sz w:val="24"/>
          <w:szCs w:val="24"/>
        </w:rPr>
        <w:t xml:space="preserve"> </w:t>
      </w:r>
      <w:r w:rsidR="00296630">
        <w:rPr>
          <w:rFonts w:ascii="Times New Roman" w:hAnsi="Times New Roman" w:cs="Times New Roman"/>
          <w:sz w:val="24"/>
          <w:szCs w:val="24"/>
        </w:rPr>
        <w:t>wzrost o 11.795 osób;</w:t>
      </w:r>
    </w:p>
    <w:p w:rsidR="001E14EF" w:rsidRDefault="001E14EF" w:rsidP="00C948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oddziały rehabilitacyjne</w:t>
      </w:r>
      <w:r w:rsidRPr="001E14EF">
        <w:rPr>
          <w:rFonts w:ascii="Times New Roman" w:hAnsi="Times New Roman" w:cs="Times New Roman"/>
          <w:sz w:val="24"/>
          <w:szCs w:val="24"/>
        </w:rPr>
        <w:t xml:space="preserve"> – wzro</w:t>
      </w:r>
      <w:r w:rsidR="00296630">
        <w:rPr>
          <w:rFonts w:ascii="Times New Roman" w:hAnsi="Times New Roman" w:cs="Times New Roman"/>
          <w:sz w:val="24"/>
          <w:szCs w:val="24"/>
        </w:rPr>
        <w:t>st o 11.657 osób;</w:t>
      </w:r>
    </w:p>
    <w:p w:rsidR="008D3073" w:rsidRPr="00C94833" w:rsidRDefault="001E14EF" w:rsidP="00C948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poradnie chorób zakaźnych</w:t>
      </w:r>
      <w:r>
        <w:rPr>
          <w:rFonts w:ascii="Times New Roman" w:hAnsi="Times New Roman" w:cs="Times New Roman"/>
          <w:sz w:val="24"/>
          <w:szCs w:val="24"/>
        </w:rPr>
        <w:t xml:space="preserve"> – wzrost o 10.775 osób.</w:t>
      </w:r>
    </w:p>
    <w:p w:rsidR="008D3073" w:rsidRDefault="005F7F8D" w:rsidP="00BB1647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Zauważenia wymaga ponadto, iż k</w:t>
      </w:r>
      <w:r w:rsidR="00296630">
        <w:rPr>
          <w:rFonts w:ascii="Times New Roman" w:hAnsi="Times New Roman" w:cs="Times New Roman"/>
          <w:sz w:val="24"/>
          <w:szCs w:val="24"/>
        </w:rPr>
        <w:t xml:space="preserve">onkurencyjna wysokość wynagrodzeń </w:t>
      </w:r>
      <w:r w:rsidR="008D3073">
        <w:rPr>
          <w:rFonts w:ascii="Times New Roman" w:hAnsi="Times New Roman" w:cs="Times New Roman"/>
          <w:sz w:val="24"/>
          <w:szCs w:val="24"/>
        </w:rPr>
        <w:t>w innych krajach U</w:t>
      </w:r>
      <w:r w:rsidR="00296630">
        <w:rPr>
          <w:rFonts w:ascii="Times New Roman" w:hAnsi="Times New Roman" w:cs="Times New Roman"/>
          <w:sz w:val="24"/>
          <w:szCs w:val="24"/>
        </w:rPr>
        <w:t xml:space="preserve">nii </w:t>
      </w:r>
      <w:r w:rsidR="008D3073">
        <w:rPr>
          <w:rFonts w:ascii="Times New Roman" w:hAnsi="Times New Roman" w:cs="Times New Roman"/>
          <w:sz w:val="24"/>
          <w:szCs w:val="24"/>
        </w:rPr>
        <w:t>E</w:t>
      </w:r>
      <w:r w:rsidR="00296630">
        <w:rPr>
          <w:rFonts w:ascii="Times New Roman" w:hAnsi="Times New Roman" w:cs="Times New Roman"/>
          <w:sz w:val="24"/>
          <w:szCs w:val="24"/>
        </w:rPr>
        <w:t>uropejskiej prowadzi</w:t>
      </w:r>
      <w:r w:rsidR="008D3073">
        <w:rPr>
          <w:rFonts w:ascii="Times New Roman" w:hAnsi="Times New Roman" w:cs="Times New Roman"/>
          <w:sz w:val="24"/>
          <w:szCs w:val="24"/>
        </w:rPr>
        <w:t xml:space="preserve"> do odpływu pracowników medycznych, </w:t>
      </w:r>
      <w:r w:rsidR="00C56F47">
        <w:rPr>
          <w:rFonts w:ascii="Times New Roman" w:hAnsi="Times New Roman" w:cs="Times New Roman"/>
          <w:sz w:val="24"/>
          <w:szCs w:val="24"/>
        </w:rPr>
        <w:t>głównie lek</w:t>
      </w:r>
      <w:r w:rsidR="004961F8">
        <w:rPr>
          <w:rFonts w:ascii="Times New Roman" w:hAnsi="Times New Roman" w:cs="Times New Roman"/>
          <w:sz w:val="24"/>
          <w:szCs w:val="24"/>
        </w:rPr>
        <w:t>arzy i </w:t>
      </w:r>
      <w:r w:rsidR="00F63C20">
        <w:rPr>
          <w:rFonts w:ascii="Times New Roman" w:hAnsi="Times New Roman" w:cs="Times New Roman"/>
          <w:sz w:val="24"/>
          <w:szCs w:val="24"/>
        </w:rPr>
        <w:t>pielęgniarek, co ma również przełożenie na</w:t>
      </w:r>
      <w:r w:rsidR="00C56F47">
        <w:rPr>
          <w:rFonts w:ascii="Times New Roman" w:hAnsi="Times New Roman" w:cs="Times New Roman"/>
          <w:sz w:val="24"/>
          <w:szCs w:val="24"/>
        </w:rPr>
        <w:t xml:space="preserve"> dostępność do świadczeń. </w:t>
      </w:r>
      <w:r w:rsidR="008D3073">
        <w:rPr>
          <w:rFonts w:ascii="Times New Roman" w:hAnsi="Times New Roman" w:cs="Times New Roman"/>
          <w:sz w:val="24"/>
          <w:szCs w:val="24"/>
        </w:rPr>
        <w:t xml:space="preserve">Szacunki wskazują, że przy dzisiejszej zawartości </w:t>
      </w:r>
      <w:r w:rsidR="00296630">
        <w:rPr>
          <w:rFonts w:ascii="Times New Roman" w:hAnsi="Times New Roman" w:cs="Times New Roman"/>
          <w:sz w:val="24"/>
          <w:szCs w:val="24"/>
        </w:rPr>
        <w:t xml:space="preserve">tzw. </w:t>
      </w:r>
      <w:r w:rsidR="008D3073">
        <w:rPr>
          <w:rFonts w:ascii="Times New Roman" w:hAnsi="Times New Roman" w:cs="Times New Roman"/>
          <w:sz w:val="24"/>
          <w:szCs w:val="24"/>
        </w:rPr>
        <w:t>koszyka świadczeń gwarantowanych i obecnej demografii brakuje co najmniej ok. 30 mld zł rocznie. Przy czym zar</w:t>
      </w:r>
      <w:r w:rsidR="004961F8">
        <w:rPr>
          <w:rFonts w:ascii="Times New Roman" w:hAnsi="Times New Roman" w:cs="Times New Roman"/>
          <w:sz w:val="24"/>
          <w:szCs w:val="24"/>
        </w:rPr>
        <w:t>ówno trend demograficzny, jak i </w:t>
      </w:r>
      <w:r w:rsidR="008D3073">
        <w:rPr>
          <w:rFonts w:ascii="Times New Roman" w:hAnsi="Times New Roman" w:cs="Times New Roman"/>
          <w:sz w:val="24"/>
          <w:szCs w:val="24"/>
        </w:rPr>
        <w:t>rozwój medycyny (nowe technologie medyc</w:t>
      </w:r>
      <w:r w:rsidR="0057405E">
        <w:rPr>
          <w:rFonts w:ascii="Times New Roman" w:hAnsi="Times New Roman" w:cs="Times New Roman"/>
          <w:sz w:val="24"/>
          <w:szCs w:val="24"/>
        </w:rPr>
        <w:t xml:space="preserve">zne w </w:t>
      </w:r>
      <w:r w:rsidR="00296630">
        <w:rPr>
          <w:rFonts w:ascii="Times New Roman" w:hAnsi="Times New Roman" w:cs="Times New Roman"/>
          <w:sz w:val="24"/>
          <w:szCs w:val="24"/>
        </w:rPr>
        <w:t xml:space="preserve">ww. </w:t>
      </w:r>
      <w:r w:rsidR="0057405E">
        <w:rPr>
          <w:rFonts w:ascii="Times New Roman" w:hAnsi="Times New Roman" w:cs="Times New Roman"/>
          <w:sz w:val="24"/>
          <w:szCs w:val="24"/>
        </w:rPr>
        <w:t>koszyku) wymagają zwiększa</w:t>
      </w:r>
      <w:r w:rsidR="008D3073">
        <w:rPr>
          <w:rFonts w:ascii="Times New Roman" w:hAnsi="Times New Roman" w:cs="Times New Roman"/>
          <w:sz w:val="24"/>
          <w:szCs w:val="24"/>
        </w:rPr>
        <w:t xml:space="preserve">nia podaży pieniądza w systemie. </w:t>
      </w:r>
    </w:p>
    <w:p w:rsidR="00E01768" w:rsidRDefault="00017975" w:rsidP="00E01768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zmiany w art. 97 i</w:t>
      </w:r>
      <w:r w:rsidR="00E01768">
        <w:rPr>
          <w:rFonts w:ascii="Times New Roman" w:hAnsi="Times New Roman" w:cs="Times New Roman"/>
          <w:sz w:val="24"/>
          <w:szCs w:val="24"/>
        </w:rPr>
        <w:t xml:space="preserve"> art. 116 ustawy</w:t>
      </w: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E01768">
        <w:rPr>
          <w:rFonts w:ascii="Times New Roman" w:hAnsi="Times New Roman" w:cs="Times New Roman"/>
          <w:sz w:val="24"/>
          <w:szCs w:val="24"/>
        </w:rPr>
        <w:t xml:space="preserve"> </w:t>
      </w:r>
      <w:r w:rsidRPr="00017975">
        <w:rPr>
          <w:rFonts w:ascii="Times New Roman" w:hAnsi="Times New Roman" w:cs="Times New Roman"/>
          <w:sz w:val="24"/>
          <w:szCs w:val="24"/>
        </w:rPr>
        <w:t>27 sierpnia 2004 r. o świadczeniach opieki zdrowotnej finans</w:t>
      </w:r>
      <w:r>
        <w:rPr>
          <w:rFonts w:ascii="Times New Roman" w:hAnsi="Times New Roman" w:cs="Times New Roman"/>
          <w:sz w:val="24"/>
          <w:szCs w:val="24"/>
        </w:rPr>
        <w:t xml:space="preserve">owanych ze środków publicznych </w:t>
      </w:r>
      <w:r w:rsidR="00E01768">
        <w:rPr>
          <w:rFonts w:ascii="Times New Roman" w:hAnsi="Times New Roman" w:cs="Times New Roman"/>
          <w:sz w:val="24"/>
          <w:szCs w:val="24"/>
        </w:rPr>
        <w:t>są bezpośrednią konsekwencją projektowanych</w:t>
      </w:r>
      <w:r>
        <w:rPr>
          <w:rFonts w:ascii="Times New Roman" w:hAnsi="Times New Roman" w:cs="Times New Roman"/>
          <w:sz w:val="24"/>
          <w:szCs w:val="24"/>
        </w:rPr>
        <w:t xml:space="preserve"> zmian systemowych zawartych w dodanych art. 131c i art. 131</w:t>
      </w:r>
      <w:r w:rsidR="00E01768">
        <w:rPr>
          <w:rFonts w:ascii="Times New Roman" w:hAnsi="Times New Roman" w:cs="Times New Roman"/>
          <w:sz w:val="24"/>
          <w:szCs w:val="24"/>
        </w:rPr>
        <w:t>d.</w:t>
      </w:r>
    </w:p>
    <w:p w:rsidR="009C0386" w:rsidRDefault="009C0386" w:rsidP="00BB16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1E">
        <w:rPr>
          <w:rFonts w:ascii="Times New Roman" w:hAnsi="Times New Roman" w:cs="Times New Roman"/>
          <w:sz w:val="24"/>
          <w:szCs w:val="24"/>
        </w:rPr>
        <w:t xml:space="preserve">Proponuje się wejście w życie projektowanych regulacji </w:t>
      </w:r>
      <w:r>
        <w:rPr>
          <w:rFonts w:ascii="Times New Roman" w:hAnsi="Times New Roman" w:cs="Times New Roman"/>
          <w:sz w:val="24"/>
          <w:szCs w:val="24"/>
        </w:rPr>
        <w:t xml:space="preserve">z dniem 1 stycznia 2018 r. </w:t>
      </w:r>
    </w:p>
    <w:p w:rsidR="0027788A" w:rsidRDefault="009C0386" w:rsidP="00BB16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1E">
        <w:rPr>
          <w:rFonts w:ascii="Times New Roman" w:hAnsi="Times New Roman" w:cs="Times New Roman"/>
          <w:sz w:val="24"/>
          <w:szCs w:val="24"/>
        </w:rPr>
        <w:t>Kwestie regu</w:t>
      </w:r>
      <w:r w:rsidR="00E257C9">
        <w:rPr>
          <w:rFonts w:ascii="Times New Roman" w:hAnsi="Times New Roman" w:cs="Times New Roman"/>
          <w:sz w:val="24"/>
          <w:szCs w:val="24"/>
        </w:rPr>
        <w:t xml:space="preserve">lowane w projektowanej ustawie </w:t>
      </w:r>
      <w:r w:rsidR="00E01768">
        <w:rPr>
          <w:rFonts w:ascii="Times New Roman" w:hAnsi="Times New Roman" w:cs="Times New Roman"/>
          <w:sz w:val="24"/>
          <w:szCs w:val="24"/>
        </w:rPr>
        <w:t xml:space="preserve">nie </w:t>
      </w:r>
      <w:r w:rsidRPr="001D531E">
        <w:rPr>
          <w:rFonts w:ascii="Times New Roman" w:hAnsi="Times New Roman" w:cs="Times New Roman"/>
          <w:sz w:val="24"/>
          <w:szCs w:val="24"/>
        </w:rPr>
        <w:t xml:space="preserve">są objęte prawem Unii </w:t>
      </w:r>
      <w:r w:rsidRPr="00E257C9">
        <w:rPr>
          <w:rFonts w:ascii="Times New Roman" w:hAnsi="Times New Roman" w:cs="Times New Roman"/>
          <w:sz w:val="24"/>
          <w:szCs w:val="24"/>
        </w:rPr>
        <w:t>Europe</w:t>
      </w:r>
      <w:r w:rsidR="009C3744" w:rsidRPr="00E257C9">
        <w:rPr>
          <w:rFonts w:ascii="Times New Roman" w:hAnsi="Times New Roman" w:cs="Times New Roman"/>
          <w:sz w:val="24"/>
          <w:szCs w:val="24"/>
        </w:rPr>
        <w:t>jskiej</w:t>
      </w:r>
      <w:r w:rsidR="00E01768">
        <w:rPr>
          <w:rFonts w:ascii="Times New Roman" w:hAnsi="Times New Roman" w:cs="Times New Roman"/>
        </w:rPr>
        <w:t xml:space="preserve">. </w:t>
      </w:r>
      <w:r w:rsidR="009C3744">
        <w:rPr>
          <w:rFonts w:ascii="Times New Roman" w:hAnsi="Times New Roman" w:cs="Times New Roman"/>
          <w:sz w:val="24"/>
          <w:szCs w:val="24"/>
        </w:rPr>
        <w:t xml:space="preserve">Projekt </w:t>
      </w:r>
      <w:r w:rsidRPr="001D531E">
        <w:rPr>
          <w:rFonts w:ascii="Times New Roman" w:hAnsi="Times New Roman" w:cs="Times New Roman"/>
          <w:sz w:val="24"/>
          <w:szCs w:val="24"/>
        </w:rPr>
        <w:t>nie wymaga przedstawienia organom i instytucjom Unii Europejskiej.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2E0" w:rsidRDefault="001412E0" w:rsidP="00BB16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Projektowana ustawa nie ma bezpośredniego wpływu na mikro</w:t>
      </w:r>
      <w:r w:rsidR="00006BC5">
        <w:rPr>
          <w:rFonts w:ascii="Times New Roman" w:hAnsi="Times New Roman" w:cs="Times New Roman"/>
          <w:sz w:val="24"/>
          <w:szCs w:val="24"/>
        </w:rPr>
        <w:t>przedsiębiorców oraz małych i </w:t>
      </w:r>
      <w:r>
        <w:rPr>
          <w:rFonts w:ascii="Times New Roman" w:hAnsi="Times New Roman" w:cs="Times New Roman"/>
          <w:sz w:val="24"/>
          <w:szCs w:val="24"/>
        </w:rPr>
        <w:t xml:space="preserve">średnich przedsiębiorców, jednakże zwiększenie środków finansowych na świadczenia </w:t>
      </w:r>
      <w:r>
        <w:rPr>
          <w:rFonts w:ascii="Times New Roman" w:hAnsi="Times New Roman" w:cs="Times New Roman"/>
          <w:sz w:val="24"/>
          <w:szCs w:val="24"/>
        </w:rPr>
        <w:lastRenderedPageBreak/>
        <w:t>gwarantowane przyczyni się do zwiększenia środków, które mogą otrzymać świadczeniodawcy, w tym ci, których zalicza się do tych trzech grup.</w:t>
      </w:r>
    </w:p>
    <w:p w:rsidR="009C0386" w:rsidRDefault="009C0386" w:rsidP="00BB16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1E">
        <w:rPr>
          <w:rFonts w:ascii="Times New Roman" w:hAnsi="Times New Roman" w:cs="Times New Roman"/>
          <w:sz w:val="24"/>
          <w:szCs w:val="24"/>
        </w:rPr>
        <w:t>Projektowana regulacja nie zawiera przepisów technicznych w rozumieniu rozporzą</w:t>
      </w:r>
      <w:r w:rsidR="001D0154">
        <w:rPr>
          <w:rFonts w:ascii="Times New Roman" w:hAnsi="Times New Roman" w:cs="Times New Roman"/>
          <w:sz w:val="24"/>
          <w:szCs w:val="24"/>
        </w:rPr>
        <w:t>dzenia Rady Ministrów z dnia 23 </w:t>
      </w:r>
      <w:r w:rsidRPr="001D531E">
        <w:rPr>
          <w:rFonts w:ascii="Times New Roman" w:hAnsi="Times New Roman" w:cs="Times New Roman"/>
          <w:sz w:val="24"/>
          <w:szCs w:val="24"/>
        </w:rPr>
        <w:t>grudnia 2002 r. w sprawie sposobu funkcjonowania krajo</w:t>
      </w:r>
      <w:r w:rsidR="001D0154">
        <w:rPr>
          <w:rFonts w:ascii="Times New Roman" w:hAnsi="Times New Roman" w:cs="Times New Roman"/>
          <w:sz w:val="24"/>
          <w:szCs w:val="24"/>
        </w:rPr>
        <w:t>wego systemu notyfikacji norm i </w:t>
      </w:r>
      <w:r w:rsidRPr="001D531E">
        <w:rPr>
          <w:rFonts w:ascii="Times New Roman" w:hAnsi="Times New Roman" w:cs="Times New Roman"/>
          <w:sz w:val="24"/>
          <w:szCs w:val="24"/>
        </w:rPr>
        <w:t xml:space="preserve">aktów prawnych (Dz. U. poz. </w:t>
      </w:r>
      <w:r w:rsidR="004961F8">
        <w:rPr>
          <w:rFonts w:ascii="Times New Roman" w:hAnsi="Times New Roman" w:cs="Times New Roman"/>
          <w:sz w:val="24"/>
          <w:szCs w:val="24"/>
        </w:rPr>
        <w:t>2039, z późn. zm.). W związku z </w:t>
      </w:r>
      <w:r w:rsidRPr="001D531E">
        <w:rPr>
          <w:rFonts w:ascii="Times New Roman" w:hAnsi="Times New Roman" w:cs="Times New Roman"/>
          <w:sz w:val="24"/>
          <w:szCs w:val="24"/>
        </w:rPr>
        <w:t xml:space="preserve">tym nie podlega </w:t>
      </w:r>
      <w:r w:rsidR="00FC7276">
        <w:rPr>
          <w:rFonts w:ascii="Times New Roman" w:hAnsi="Times New Roman" w:cs="Times New Roman"/>
          <w:sz w:val="24"/>
          <w:szCs w:val="24"/>
        </w:rPr>
        <w:t xml:space="preserve">on </w:t>
      </w:r>
      <w:r w:rsidRPr="001D531E">
        <w:rPr>
          <w:rFonts w:ascii="Times New Roman" w:hAnsi="Times New Roman" w:cs="Times New Roman"/>
          <w:sz w:val="24"/>
          <w:szCs w:val="24"/>
        </w:rPr>
        <w:t>notyfikacji.</w:t>
      </w:r>
    </w:p>
    <w:p w:rsidR="00E01768" w:rsidRDefault="0027788A" w:rsidP="004961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8A">
        <w:rPr>
          <w:rFonts w:ascii="Times New Roman" w:hAnsi="Times New Roman" w:cs="Times New Roman"/>
          <w:sz w:val="24"/>
          <w:szCs w:val="24"/>
        </w:rPr>
        <w:t xml:space="preserve">Jednocześnie należy wskazać, że nie ma możliwości podjęcia alternatywnych, w stosunku </w:t>
      </w:r>
      <w:r w:rsidR="00FD5D4C">
        <w:rPr>
          <w:rFonts w:ascii="Times New Roman" w:hAnsi="Times New Roman" w:cs="Times New Roman"/>
          <w:sz w:val="24"/>
          <w:szCs w:val="24"/>
        </w:rPr>
        <w:t>do </w:t>
      </w:r>
      <w:r>
        <w:rPr>
          <w:rFonts w:ascii="Times New Roman" w:hAnsi="Times New Roman" w:cs="Times New Roman"/>
          <w:sz w:val="24"/>
          <w:szCs w:val="24"/>
        </w:rPr>
        <w:t>projektowanej regulacji</w:t>
      </w:r>
      <w:r w:rsidRPr="0027788A">
        <w:rPr>
          <w:rFonts w:ascii="Times New Roman" w:hAnsi="Times New Roman" w:cs="Times New Roman"/>
          <w:sz w:val="24"/>
          <w:szCs w:val="24"/>
        </w:rPr>
        <w:t>, środków umożliwiających osiągnięcie zamierzonego celu.</w:t>
      </w:r>
      <w:r w:rsidR="00E257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1768" w:rsidSect="004961F8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21" w:rsidRDefault="00A61921" w:rsidP="001D531E">
      <w:pPr>
        <w:spacing w:after="0" w:line="240" w:lineRule="auto"/>
      </w:pPr>
      <w:r>
        <w:separator/>
      </w:r>
    </w:p>
  </w:endnote>
  <w:endnote w:type="continuationSeparator" w:id="0">
    <w:p w:rsidR="00A61921" w:rsidRDefault="00A61921" w:rsidP="001D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037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531E" w:rsidRPr="004961F8" w:rsidRDefault="004961F8" w:rsidP="004961F8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61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61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61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588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961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21" w:rsidRDefault="00A61921" w:rsidP="001D531E">
      <w:pPr>
        <w:spacing w:after="0" w:line="240" w:lineRule="auto"/>
      </w:pPr>
      <w:r>
        <w:separator/>
      </w:r>
    </w:p>
  </w:footnote>
  <w:footnote w:type="continuationSeparator" w:id="0">
    <w:p w:rsidR="00A61921" w:rsidRDefault="00A61921" w:rsidP="001D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5F0F"/>
    <w:multiLevelType w:val="hybridMultilevel"/>
    <w:tmpl w:val="EFC63490"/>
    <w:lvl w:ilvl="0" w:tplc="D27C6D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23F3F"/>
    <w:multiLevelType w:val="hybridMultilevel"/>
    <w:tmpl w:val="FD60E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37F77"/>
    <w:multiLevelType w:val="hybridMultilevel"/>
    <w:tmpl w:val="4BC09472"/>
    <w:lvl w:ilvl="0" w:tplc="2D0A4E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D3540"/>
    <w:multiLevelType w:val="hybridMultilevel"/>
    <w:tmpl w:val="47F6FD9C"/>
    <w:lvl w:ilvl="0" w:tplc="5D7E3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D2292"/>
    <w:multiLevelType w:val="hybridMultilevel"/>
    <w:tmpl w:val="9F96CA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AE365A"/>
    <w:multiLevelType w:val="hybridMultilevel"/>
    <w:tmpl w:val="9D762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07117"/>
    <w:multiLevelType w:val="hybridMultilevel"/>
    <w:tmpl w:val="A246D5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AB2DCF"/>
    <w:multiLevelType w:val="hybridMultilevel"/>
    <w:tmpl w:val="2BBAC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5202A"/>
    <w:multiLevelType w:val="hybridMultilevel"/>
    <w:tmpl w:val="855A52FC"/>
    <w:lvl w:ilvl="0" w:tplc="14FAF8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A004CC"/>
    <w:multiLevelType w:val="hybridMultilevel"/>
    <w:tmpl w:val="AFC80F4E"/>
    <w:lvl w:ilvl="0" w:tplc="9698C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281F3F"/>
    <w:multiLevelType w:val="hybridMultilevel"/>
    <w:tmpl w:val="1E1C7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87EF8"/>
    <w:multiLevelType w:val="hybridMultilevel"/>
    <w:tmpl w:val="EC6689D8"/>
    <w:lvl w:ilvl="0" w:tplc="E8AC9C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84793"/>
    <w:multiLevelType w:val="hybridMultilevel"/>
    <w:tmpl w:val="282217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4C0A7D"/>
    <w:multiLevelType w:val="hybridMultilevel"/>
    <w:tmpl w:val="DF4E39FE"/>
    <w:lvl w:ilvl="0" w:tplc="43102D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D5845"/>
    <w:multiLevelType w:val="hybridMultilevel"/>
    <w:tmpl w:val="6C78A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E1C27"/>
    <w:multiLevelType w:val="hybridMultilevel"/>
    <w:tmpl w:val="BEF204CE"/>
    <w:lvl w:ilvl="0" w:tplc="AF5E22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4"/>
  </w:num>
  <w:num w:numId="5">
    <w:abstractNumId w:val="15"/>
  </w:num>
  <w:num w:numId="6">
    <w:abstractNumId w:val="13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4"/>
    <w:rsid w:val="00006BC5"/>
    <w:rsid w:val="00017975"/>
    <w:rsid w:val="0004445A"/>
    <w:rsid w:val="00065F19"/>
    <w:rsid w:val="00080FAD"/>
    <w:rsid w:val="00095F4C"/>
    <w:rsid w:val="000A500D"/>
    <w:rsid w:val="000B2FE0"/>
    <w:rsid w:val="00140880"/>
    <w:rsid w:val="001412E0"/>
    <w:rsid w:val="00143A95"/>
    <w:rsid w:val="001644B5"/>
    <w:rsid w:val="00186CF5"/>
    <w:rsid w:val="001A1771"/>
    <w:rsid w:val="001D0154"/>
    <w:rsid w:val="001D15BF"/>
    <w:rsid w:val="001D531E"/>
    <w:rsid w:val="001D74BB"/>
    <w:rsid w:val="001E14EF"/>
    <w:rsid w:val="001F1EA1"/>
    <w:rsid w:val="00200493"/>
    <w:rsid w:val="00227B07"/>
    <w:rsid w:val="00265884"/>
    <w:rsid w:val="0027272F"/>
    <w:rsid w:val="0027788A"/>
    <w:rsid w:val="00296630"/>
    <w:rsid w:val="002C03D3"/>
    <w:rsid w:val="002E0DBB"/>
    <w:rsid w:val="00325FB3"/>
    <w:rsid w:val="00394956"/>
    <w:rsid w:val="003A3A23"/>
    <w:rsid w:val="003A609A"/>
    <w:rsid w:val="003D687C"/>
    <w:rsid w:val="003F745E"/>
    <w:rsid w:val="00437CB4"/>
    <w:rsid w:val="0044328A"/>
    <w:rsid w:val="00470DC0"/>
    <w:rsid w:val="0048243A"/>
    <w:rsid w:val="00490EF9"/>
    <w:rsid w:val="004961F8"/>
    <w:rsid w:val="00517E65"/>
    <w:rsid w:val="00520310"/>
    <w:rsid w:val="00521823"/>
    <w:rsid w:val="0057405E"/>
    <w:rsid w:val="005F11CA"/>
    <w:rsid w:val="005F16A4"/>
    <w:rsid w:val="005F7F8D"/>
    <w:rsid w:val="006860F8"/>
    <w:rsid w:val="006D59C0"/>
    <w:rsid w:val="006D6EB9"/>
    <w:rsid w:val="00714EE7"/>
    <w:rsid w:val="007241C7"/>
    <w:rsid w:val="007347D2"/>
    <w:rsid w:val="0077237E"/>
    <w:rsid w:val="00792FBD"/>
    <w:rsid w:val="007967F9"/>
    <w:rsid w:val="007F0A4E"/>
    <w:rsid w:val="008029CA"/>
    <w:rsid w:val="00805842"/>
    <w:rsid w:val="00810EE7"/>
    <w:rsid w:val="008206E8"/>
    <w:rsid w:val="008D0A1A"/>
    <w:rsid w:val="008D3073"/>
    <w:rsid w:val="008D3A45"/>
    <w:rsid w:val="0090034B"/>
    <w:rsid w:val="00902AF6"/>
    <w:rsid w:val="009270E4"/>
    <w:rsid w:val="009343FE"/>
    <w:rsid w:val="00966E79"/>
    <w:rsid w:val="009B4B87"/>
    <w:rsid w:val="009C0386"/>
    <w:rsid w:val="009C3744"/>
    <w:rsid w:val="009C3DB0"/>
    <w:rsid w:val="00A601AA"/>
    <w:rsid w:val="00A61921"/>
    <w:rsid w:val="00AA5036"/>
    <w:rsid w:val="00AF638A"/>
    <w:rsid w:val="00B15D1F"/>
    <w:rsid w:val="00B75232"/>
    <w:rsid w:val="00B77F5E"/>
    <w:rsid w:val="00B80D39"/>
    <w:rsid w:val="00B8122F"/>
    <w:rsid w:val="00B9329A"/>
    <w:rsid w:val="00BB1647"/>
    <w:rsid w:val="00BE0379"/>
    <w:rsid w:val="00BF3F25"/>
    <w:rsid w:val="00C17F4D"/>
    <w:rsid w:val="00C45B83"/>
    <w:rsid w:val="00C56F47"/>
    <w:rsid w:val="00C94833"/>
    <w:rsid w:val="00CB5C4B"/>
    <w:rsid w:val="00CE51D4"/>
    <w:rsid w:val="00D102A8"/>
    <w:rsid w:val="00D45C5B"/>
    <w:rsid w:val="00D623FF"/>
    <w:rsid w:val="00D76DF9"/>
    <w:rsid w:val="00DB5C45"/>
    <w:rsid w:val="00E01768"/>
    <w:rsid w:val="00E257C9"/>
    <w:rsid w:val="00E42C36"/>
    <w:rsid w:val="00E74F3B"/>
    <w:rsid w:val="00EA011C"/>
    <w:rsid w:val="00ED32A6"/>
    <w:rsid w:val="00F04EAF"/>
    <w:rsid w:val="00F45E27"/>
    <w:rsid w:val="00F57F18"/>
    <w:rsid w:val="00F63C20"/>
    <w:rsid w:val="00F7489F"/>
    <w:rsid w:val="00FC505A"/>
    <w:rsid w:val="00FC7276"/>
    <w:rsid w:val="00FC79D7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977F7-6D07-4AF6-9A71-A4A28EC5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0E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0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31E"/>
  </w:style>
  <w:style w:type="paragraph" w:styleId="Stopka">
    <w:name w:val="footer"/>
    <w:basedOn w:val="Normalny"/>
    <w:link w:val="StopkaZnak"/>
    <w:uiPriority w:val="99"/>
    <w:unhideWhenUsed/>
    <w:rsid w:val="001D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31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8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8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8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Wielkość wydatków publicznych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'[812016231x1g100.xls]Data5.3'!$C$10:$C$46</c:f>
              <c:strCache>
                <c:ptCount val="37"/>
                <c:pt idx="0">
                  <c:v>Niemcy </c:v>
                </c:pt>
                <c:pt idx="1">
                  <c:v>Szwecja </c:v>
                </c:pt>
                <c:pt idx="2">
                  <c:v>Francja</c:v>
                </c:pt>
                <c:pt idx="3">
                  <c:v>Holandia</c:v>
                </c:pt>
                <c:pt idx="4">
                  <c:v>Dania</c:v>
                </c:pt>
                <c:pt idx="5">
                  <c:v>Belgia</c:v>
                </c:pt>
                <c:pt idx="6">
                  <c:v>Austria</c:v>
                </c:pt>
                <c:pt idx="7">
                  <c:v>EU28</c:v>
                </c:pt>
                <c:pt idx="8">
                  <c:v>Wielka Brytania</c:v>
                </c:pt>
                <c:pt idx="9">
                  <c:v>Finlandia </c:v>
                </c:pt>
                <c:pt idx="10">
                  <c:v>Malta</c:v>
                </c:pt>
                <c:pt idx="11">
                  <c:v>Irlandia</c:v>
                </c:pt>
                <c:pt idx="12">
                  <c:v>Włochy</c:v>
                </c:pt>
                <c:pt idx="13">
                  <c:v>Hiszpania</c:v>
                </c:pt>
                <c:pt idx="14">
                  <c:v>Portugalia</c:v>
                </c:pt>
                <c:pt idx="15">
                  <c:v>Słowenia</c:v>
                </c:pt>
                <c:pt idx="16">
                  <c:v>Bułgaria</c:v>
                </c:pt>
                <c:pt idx="17">
                  <c:v>Grecja</c:v>
                </c:pt>
                <c:pt idx="18">
                  <c:v>Czechy</c:v>
                </c:pt>
                <c:pt idx="19">
                  <c:v>Luksemburg</c:v>
                </c:pt>
                <c:pt idx="20">
                  <c:v>Węgry</c:v>
                </c:pt>
                <c:pt idx="21">
                  <c:v>Słowacja</c:v>
                </c:pt>
                <c:pt idx="22">
                  <c:v>Cypr</c:v>
                </c:pt>
                <c:pt idx="23">
                  <c:v>Chorwacja</c:v>
                </c:pt>
                <c:pt idx="24">
                  <c:v>Litwa</c:v>
                </c:pt>
                <c:pt idx="25">
                  <c:v>Polska</c:v>
                </c:pt>
                <c:pt idx="26">
                  <c:v>Estonia</c:v>
                </c:pt>
                <c:pt idx="27">
                  <c:v>Łotwa</c:v>
                </c:pt>
                <c:pt idx="28">
                  <c:v>Rumunia</c:v>
                </c:pt>
                <c:pt idx="29">
                  <c:v>Szwajcaria</c:v>
                </c:pt>
                <c:pt idx="30">
                  <c:v>Serbia</c:v>
                </c:pt>
                <c:pt idx="31">
                  <c:v>Norwegia</c:v>
                </c:pt>
                <c:pt idx="32">
                  <c:v>Islandia</c:v>
                </c:pt>
                <c:pt idx="33">
                  <c:v>Macedonia</c:v>
                </c:pt>
                <c:pt idx="34">
                  <c:v>Czarnogóra</c:v>
                </c:pt>
                <c:pt idx="35">
                  <c:v>Albania</c:v>
                </c:pt>
                <c:pt idx="36">
                  <c:v>Turcja</c:v>
                </c:pt>
              </c:strCache>
            </c:strRef>
          </c:cat>
          <c:val>
            <c:numRef>
              <c:f>'[812016231x1g100.xls]Data5.3'!$D$10:$D$46</c:f>
              <c:numCache>
                <c:formatCode>0.0</c:formatCode>
                <c:ptCount val="37"/>
                <c:pt idx="0">
                  <c:v>9.4205000000000005</c:v>
                </c:pt>
                <c:pt idx="1">
                  <c:v>9.2653999999999996</c:v>
                </c:pt>
                <c:pt idx="2">
                  <c:v>8.6373999999999995</c:v>
                </c:pt>
                <c:pt idx="3">
                  <c:v>8.6875999999999998</c:v>
                </c:pt>
                <c:pt idx="4">
                  <c:v>8.9093</c:v>
                </c:pt>
                <c:pt idx="5">
                  <c:v>8.0319000000000003</c:v>
                </c:pt>
                <c:pt idx="6">
                  <c:v>7.8836000000000004</c:v>
                </c:pt>
                <c:pt idx="7">
                  <c:v>7.8117351871831024</c:v>
                </c:pt>
                <c:pt idx="8">
                  <c:v>7.7077</c:v>
                </c:pt>
                <c:pt idx="9">
                  <c:v>7.2813999999999997</c:v>
                </c:pt>
                <c:pt idx="10">
                  <c:v>6.5892999999999997</c:v>
                </c:pt>
                <c:pt idx="11">
                  <c:v>6.4981999999999998</c:v>
                </c:pt>
                <c:pt idx="12">
                  <c:v>6.8311999999999999</c:v>
                </c:pt>
                <c:pt idx="13">
                  <c:v>6.29</c:v>
                </c:pt>
                <c:pt idx="14">
                  <c:v>5.8472999999999997</c:v>
                </c:pt>
                <c:pt idx="15">
                  <c:v>6.0373000000000001</c:v>
                </c:pt>
                <c:pt idx="16">
                  <c:v>4.4592999999999998</c:v>
                </c:pt>
                <c:pt idx="17">
                  <c:v>4.9682000000000004</c:v>
                </c:pt>
                <c:pt idx="18">
                  <c:v>6.3784000000000001</c:v>
                </c:pt>
                <c:pt idx="19">
                  <c:v>6.0175000000000001</c:v>
                </c:pt>
                <c:pt idx="20">
                  <c:v>4.7156000000000002</c:v>
                </c:pt>
                <c:pt idx="21">
                  <c:v>5.6334</c:v>
                </c:pt>
                <c:pt idx="22">
                  <c:v>3.0192999999999999</c:v>
                </c:pt>
                <c:pt idx="23">
                  <c:v>5.0038</c:v>
                </c:pt>
                <c:pt idx="24">
                  <c:v>4.4359000000000002</c:v>
                </c:pt>
                <c:pt idx="25">
                  <c:v>4.5297999999999998</c:v>
                </c:pt>
                <c:pt idx="26">
                  <c:v>4.7598000000000003</c:v>
                </c:pt>
                <c:pt idx="27">
                  <c:v>3.3744000000000001</c:v>
                </c:pt>
                <c:pt idx="28">
                  <c:v>3.9548999999999999</c:v>
                </c:pt>
                <c:pt idx="29">
                  <c:v>7.8373999999999997</c:v>
                </c:pt>
                <c:pt idx="30">
                  <c:v>6.3665000000000003</c:v>
                </c:pt>
                <c:pt idx="31">
                  <c:v>8.4682999999999993</c:v>
                </c:pt>
                <c:pt idx="32">
                  <c:v>7.1740000000000004</c:v>
                </c:pt>
                <c:pt idx="33">
                  <c:v>4.1032000000000002</c:v>
                </c:pt>
                <c:pt idx="34">
                  <c:v>3.5604</c:v>
                </c:pt>
                <c:pt idx="35">
                  <c:v>2.9567999999999999</c:v>
                </c:pt>
                <c:pt idx="36">
                  <c:v>4.0388000000000002</c:v>
                </c:pt>
              </c:numCache>
            </c:numRef>
          </c:val>
        </c:ser>
        <c:ser>
          <c:idx val="1"/>
          <c:order val="1"/>
          <c:tx>
            <c:v>Wielkość wydatków prywatnych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'[812016231x1g100.xls]Data5.3'!$C$10:$C$46</c:f>
              <c:strCache>
                <c:ptCount val="37"/>
                <c:pt idx="0">
                  <c:v>Niemcy </c:v>
                </c:pt>
                <c:pt idx="1">
                  <c:v>Szwecja </c:v>
                </c:pt>
                <c:pt idx="2">
                  <c:v>Francja</c:v>
                </c:pt>
                <c:pt idx="3">
                  <c:v>Holandia</c:v>
                </c:pt>
                <c:pt idx="4">
                  <c:v>Dania</c:v>
                </c:pt>
                <c:pt idx="5">
                  <c:v>Belgia</c:v>
                </c:pt>
                <c:pt idx="6">
                  <c:v>Austria</c:v>
                </c:pt>
                <c:pt idx="7">
                  <c:v>EU28</c:v>
                </c:pt>
                <c:pt idx="8">
                  <c:v>Wielka Brytania</c:v>
                </c:pt>
                <c:pt idx="9">
                  <c:v>Finlandia </c:v>
                </c:pt>
                <c:pt idx="10">
                  <c:v>Malta</c:v>
                </c:pt>
                <c:pt idx="11">
                  <c:v>Irlandia</c:v>
                </c:pt>
                <c:pt idx="12">
                  <c:v>Włochy</c:v>
                </c:pt>
                <c:pt idx="13">
                  <c:v>Hiszpania</c:v>
                </c:pt>
                <c:pt idx="14">
                  <c:v>Portugalia</c:v>
                </c:pt>
                <c:pt idx="15">
                  <c:v>Słowenia</c:v>
                </c:pt>
                <c:pt idx="16">
                  <c:v>Bułgaria</c:v>
                </c:pt>
                <c:pt idx="17">
                  <c:v>Grecja</c:v>
                </c:pt>
                <c:pt idx="18">
                  <c:v>Czechy</c:v>
                </c:pt>
                <c:pt idx="19">
                  <c:v>Luksemburg</c:v>
                </c:pt>
                <c:pt idx="20">
                  <c:v>Węgry</c:v>
                </c:pt>
                <c:pt idx="21">
                  <c:v>Słowacja</c:v>
                </c:pt>
                <c:pt idx="22">
                  <c:v>Cypr</c:v>
                </c:pt>
                <c:pt idx="23">
                  <c:v>Chorwacja</c:v>
                </c:pt>
                <c:pt idx="24">
                  <c:v>Litwa</c:v>
                </c:pt>
                <c:pt idx="25">
                  <c:v>Polska</c:v>
                </c:pt>
                <c:pt idx="26">
                  <c:v>Estonia</c:v>
                </c:pt>
                <c:pt idx="27">
                  <c:v>Łotwa</c:v>
                </c:pt>
                <c:pt idx="28">
                  <c:v>Rumunia</c:v>
                </c:pt>
                <c:pt idx="29">
                  <c:v>Szwajcaria</c:v>
                </c:pt>
                <c:pt idx="30">
                  <c:v>Serbia</c:v>
                </c:pt>
                <c:pt idx="31">
                  <c:v>Norwegia</c:v>
                </c:pt>
                <c:pt idx="32">
                  <c:v>Islandia</c:v>
                </c:pt>
                <c:pt idx="33">
                  <c:v>Macedonia</c:v>
                </c:pt>
                <c:pt idx="34">
                  <c:v>Czarnogóra</c:v>
                </c:pt>
                <c:pt idx="35">
                  <c:v>Albania</c:v>
                </c:pt>
                <c:pt idx="36">
                  <c:v>Turcja</c:v>
                </c:pt>
              </c:strCache>
            </c:strRef>
          </c:cat>
          <c:val>
            <c:numRef>
              <c:f>'[812016231x1g100.xls]Data5.3'!$E$10:$E$46</c:f>
              <c:numCache>
                <c:formatCode>0.0</c:formatCode>
                <c:ptCount val="37"/>
                <c:pt idx="0">
                  <c:v>1.6634</c:v>
                </c:pt>
                <c:pt idx="1">
                  <c:v>1.8049999999999999</c:v>
                </c:pt>
                <c:pt idx="2">
                  <c:v>2.3506999999999998</c:v>
                </c:pt>
                <c:pt idx="3">
                  <c:v>2.0760999999999998</c:v>
                </c:pt>
                <c:pt idx="4">
                  <c:v>1.6763999999999999</c:v>
                </c:pt>
                <c:pt idx="5">
                  <c:v>2.3254999999999999</c:v>
                </c:pt>
                <c:pt idx="6">
                  <c:v>2.4733999999999998</c:v>
                </c:pt>
                <c:pt idx="7">
                  <c:v>2.1033837474869328</c:v>
                </c:pt>
                <c:pt idx="8">
                  <c:v>2.0455999999999999</c:v>
                </c:pt>
                <c:pt idx="9">
                  <c:v>2.3589000000000002</c:v>
                </c:pt>
                <c:pt idx="10">
                  <c:v>2.9859</c:v>
                </c:pt>
                <c:pt idx="11">
                  <c:v>2.8946000000000001</c:v>
                </c:pt>
                <c:pt idx="12">
                  <c:v>2.2197</c:v>
                </c:pt>
                <c:pt idx="13">
                  <c:v>2.7084999999999999</c:v>
                </c:pt>
                <c:pt idx="14">
                  <c:v>3.0097999999999998</c:v>
                </c:pt>
                <c:pt idx="15">
                  <c:v>2.3203</c:v>
                </c:pt>
                <c:pt idx="16">
                  <c:v>3.8708</c:v>
                </c:pt>
                <c:pt idx="17">
                  <c:v>3.2359</c:v>
                </c:pt>
                <c:pt idx="18">
                  <c:v>1.1604000000000001</c:v>
                </c:pt>
                <c:pt idx="19">
                  <c:v>1.1492</c:v>
                </c:pt>
                <c:pt idx="20">
                  <c:v>2.3245</c:v>
                </c:pt>
                <c:pt idx="21">
                  <c:v>1.357</c:v>
                </c:pt>
                <c:pt idx="22">
                  <c:v>3.7523</c:v>
                </c:pt>
                <c:pt idx="23">
                  <c:v>1.6459999999999999</c:v>
                </c:pt>
                <c:pt idx="24">
                  <c:v>2.0533999999999999</c:v>
                </c:pt>
                <c:pt idx="25">
                  <c:v>1.7924</c:v>
                </c:pt>
                <c:pt idx="26">
                  <c:v>1.542</c:v>
                </c:pt>
                <c:pt idx="27">
                  <c:v>2.2141000000000002</c:v>
                </c:pt>
                <c:pt idx="28">
                  <c:v>1.0556000000000001</c:v>
                </c:pt>
                <c:pt idx="29">
                  <c:v>3.6987000000000001</c:v>
                </c:pt>
                <c:pt idx="30">
                  <c:v>3.9215</c:v>
                </c:pt>
                <c:pt idx="31">
                  <c:v>1.4662999999999999</c:v>
                </c:pt>
                <c:pt idx="32">
                  <c:v>1.5921000000000001</c:v>
                </c:pt>
                <c:pt idx="33">
                  <c:v>2.3759000000000001</c:v>
                </c:pt>
                <c:pt idx="34">
                  <c:v>2.6688999999999998</c:v>
                </c:pt>
                <c:pt idx="35">
                  <c:v>2.9672000000000001</c:v>
                </c:pt>
                <c:pt idx="36">
                  <c:v>1.1922999999999999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4106336"/>
        <c:axId val="304103200"/>
      </c:barChart>
      <c:catAx>
        <c:axId val="30410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4103200"/>
        <c:crosses val="autoZero"/>
        <c:auto val="1"/>
        <c:lblAlgn val="ctr"/>
        <c:lblOffset val="100"/>
        <c:noMultiLvlLbl val="0"/>
      </c:catAx>
      <c:valAx>
        <c:axId val="30410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410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Wielkość wydatków publicznych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'[812016231x1g096.xls]Data5.1'!$C$11:$C$47</c:f>
              <c:strCache>
                <c:ptCount val="37"/>
                <c:pt idx="0">
                  <c:v>Luksemburg</c:v>
                </c:pt>
                <c:pt idx="1">
                  <c:v>Niemcy</c:v>
                </c:pt>
                <c:pt idx="2">
                  <c:v>Holandia</c:v>
                </c:pt>
                <c:pt idx="3">
                  <c:v>Szwecja</c:v>
                </c:pt>
                <c:pt idx="4">
                  <c:v>Irlandia</c:v>
                </c:pt>
                <c:pt idx="5">
                  <c:v>Austria</c:v>
                </c:pt>
                <c:pt idx="6">
                  <c:v>Dania</c:v>
                </c:pt>
                <c:pt idx="7">
                  <c:v>Belgia</c:v>
                </c:pt>
                <c:pt idx="8">
                  <c:v>Frnacja</c:v>
                </c:pt>
                <c:pt idx="9">
                  <c:v>Wielka Brytania</c:v>
                </c:pt>
                <c:pt idx="10">
                  <c:v>Finlandia</c:v>
                </c:pt>
                <c:pt idx="11">
                  <c:v>EU28</c:v>
                </c:pt>
                <c:pt idx="12">
                  <c:v>Włochy</c:v>
                </c:pt>
                <c:pt idx="13">
                  <c:v>Malta</c:v>
                </c:pt>
                <c:pt idx="14">
                  <c:v>Hiszpania</c:v>
                </c:pt>
                <c:pt idx="15">
                  <c:v>Słowenia</c:v>
                </c:pt>
                <c:pt idx="16">
                  <c:v>Portugalia</c:v>
                </c:pt>
                <c:pt idx="17">
                  <c:v>Czechy</c:v>
                </c:pt>
                <c:pt idx="18">
                  <c:v>Grecja</c:v>
                </c:pt>
                <c:pt idx="19">
                  <c:v>Cypr</c:v>
                </c:pt>
                <c:pt idx="20">
                  <c:v>Słowacja</c:v>
                </c:pt>
                <c:pt idx="21">
                  <c:v>Węgry</c:v>
                </c:pt>
                <c:pt idx="22">
                  <c:v>Litwa</c:v>
                </c:pt>
                <c:pt idx="23">
                  <c:v>Estonia</c:v>
                </c:pt>
                <c:pt idx="24">
                  <c:v>Polska</c:v>
                </c:pt>
                <c:pt idx="25">
                  <c:v>Chorwacja</c:v>
                </c:pt>
                <c:pt idx="26">
                  <c:v>Bułgaria</c:v>
                </c:pt>
                <c:pt idx="27">
                  <c:v>Łotwa</c:v>
                </c:pt>
                <c:pt idx="28">
                  <c:v>Rumunia</c:v>
                </c:pt>
                <c:pt idx="29">
                  <c:v>Szwajcaria</c:v>
                </c:pt>
                <c:pt idx="30">
                  <c:v>Norwegia</c:v>
                </c:pt>
                <c:pt idx="31">
                  <c:v>Islandia</c:v>
                </c:pt>
                <c:pt idx="32">
                  <c:v>Serbia</c:v>
                </c:pt>
                <c:pt idx="33">
                  <c:v>Turcja</c:v>
                </c:pt>
                <c:pt idx="34">
                  <c:v>Czarnogóra</c:v>
                </c:pt>
                <c:pt idx="35">
                  <c:v>Macedonia</c:v>
                </c:pt>
                <c:pt idx="36">
                  <c:v>Albania</c:v>
                </c:pt>
              </c:strCache>
            </c:strRef>
          </c:cat>
          <c:val>
            <c:numRef>
              <c:f>'[812016231x1g096.xls]Data5.1'!$D$11:$D$47</c:f>
              <c:numCache>
                <c:formatCode>0</c:formatCode>
                <c:ptCount val="37"/>
                <c:pt idx="0">
                  <c:v>5057.3754956821522</c:v>
                </c:pt>
                <c:pt idx="1">
                  <c:v>3402.5373872083892</c:v>
                </c:pt>
                <c:pt idx="2">
                  <c:v>3215.1188577854382</c:v>
                </c:pt>
                <c:pt idx="3">
                  <c:v>3295.0748579675806</c:v>
                </c:pt>
                <c:pt idx="4">
                  <c:v>2713.4718469685508</c:v>
                </c:pt>
                <c:pt idx="5">
                  <c:v>2883.8824788313018</c:v>
                </c:pt>
                <c:pt idx="6">
                  <c:v>3175.4924595652697</c:v>
                </c:pt>
                <c:pt idx="7">
                  <c:v>2699.2644585327985</c:v>
                </c:pt>
                <c:pt idx="8">
                  <c:v>2627.2461421751841</c:v>
                </c:pt>
                <c:pt idx="9">
                  <c:v>2437.2280970423471</c:v>
                </c:pt>
                <c:pt idx="10">
                  <c:v>2257.2042957942472</c:v>
                </c:pt>
                <c:pt idx="11">
                  <c:v>2176.9956352999784</c:v>
                </c:pt>
                <c:pt idx="12">
                  <c:v>1868.9586929077195</c:v>
                </c:pt>
                <c:pt idx="13">
                  <c:v>1685.2108636556352</c:v>
                </c:pt>
                <c:pt idx="14">
                  <c:v>1653.9264371971126</c:v>
                </c:pt>
                <c:pt idx="15">
                  <c:v>1432.5378289995872</c:v>
                </c:pt>
                <c:pt idx="16">
                  <c:v>1298.5732304743997</c:v>
                </c:pt>
                <c:pt idx="17">
                  <c:v>1565.533376130659</c:v>
                </c:pt>
                <c:pt idx="18">
                  <c:v>1006.9729381684973</c:v>
                </c:pt>
                <c:pt idx="19">
                  <c:v>702.61582780048252</c:v>
                </c:pt>
                <c:pt idx="20">
                  <c:v>1240.3624248706881</c:v>
                </c:pt>
                <c:pt idx="21">
                  <c:v>918.31288748711927</c:v>
                </c:pt>
                <c:pt idx="22">
                  <c:v>932.19582778664335</c:v>
                </c:pt>
                <c:pt idx="23">
                  <c:v>1018.1172920439271</c:v>
                </c:pt>
                <c:pt idx="24">
                  <c:v>902.06655502270928</c:v>
                </c:pt>
                <c:pt idx="25">
                  <c:v>834.19568525458101</c:v>
                </c:pt>
                <c:pt idx="26">
                  <c:v>593.11254649788054</c:v>
                </c:pt>
                <c:pt idx="27">
                  <c:v>622.1294940254902</c:v>
                </c:pt>
                <c:pt idx="28">
                  <c:v>643.83422581230718</c:v>
                </c:pt>
                <c:pt idx="29">
                  <c:v>3637.2524143041546</c:v>
                </c:pt>
                <c:pt idx="30">
                  <c:v>3989.7013711833838</c:v>
                </c:pt>
                <c:pt idx="31">
                  <c:v>2558.1417299076038</c:v>
                </c:pt>
                <c:pt idx="32">
                  <c:v>648.95372467632933</c:v>
                </c:pt>
                <c:pt idx="33">
                  <c:v>611.08571187756991</c:v>
                </c:pt>
                <c:pt idx="34">
                  <c:v>398.84311205476024</c:v>
                </c:pt>
                <c:pt idx="35">
                  <c:v>414.33717817338322</c:v>
                </c:pt>
                <c:pt idx="36">
                  <c:v>245.62226426496542</c:v>
                </c:pt>
              </c:numCache>
            </c:numRef>
          </c:val>
        </c:ser>
        <c:ser>
          <c:idx val="1"/>
          <c:order val="1"/>
          <c:tx>
            <c:v>Wielkość wydatków prywatnych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'[812016231x1g096.xls]Data5.1'!$C$11:$C$47</c:f>
              <c:strCache>
                <c:ptCount val="37"/>
                <c:pt idx="0">
                  <c:v>Luksemburg</c:v>
                </c:pt>
                <c:pt idx="1">
                  <c:v>Niemcy</c:v>
                </c:pt>
                <c:pt idx="2">
                  <c:v>Holandia</c:v>
                </c:pt>
                <c:pt idx="3">
                  <c:v>Szwecja</c:v>
                </c:pt>
                <c:pt idx="4">
                  <c:v>Irlandia</c:v>
                </c:pt>
                <c:pt idx="5">
                  <c:v>Austria</c:v>
                </c:pt>
                <c:pt idx="6">
                  <c:v>Dania</c:v>
                </c:pt>
                <c:pt idx="7">
                  <c:v>Belgia</c:v>
                </c:pt>
                <c:pt idx="8">
                  <c:v>Frnacja</c:v>
                </c:pt>
                <c:pt idx="9">
                  <c:v>Wielka Brytania</c:v>
                </c:pt>
                <c:pt idx="10">
                  <c:v>Finlandia</c:v>
                </c:pt>
                <c:pt idx="11">
                  <c:v>EU28</c:v>
                </c:pt>
                <c:pt idx="12">
                  <c:v>Włochy</c:v>
                </c:pt>
                <c:pt idx="13">
                  <c:v>Malta</c:v>
                </c:pt>
                <c:pt idx="14">
                  <c:v>Hiszpania</c:v>
                </c:pt>
                <c:pt idx="15">
                  <c:v>Słowenia</c:v>
                </c:pt>
                <c:pt idx="16">
                  <c:v>Portugalia</c:v>
                </c:pt>
                <c:pt idx="17">
                  <c:v>Czechy</c:v>
                </c:pt>
                <c:pt idx="18">
                  <c:v>Grecja</c:v>
                </c:pt>
                <c:pt idx="19">
                  <c:v>Cypr</c:v>
                </c:pt>
                <c:pt idx="20">
                  <c:v>Słowacja</c:v>
                </c:pt>
                <c:pt idx="21">
                  <c:v>Węgry</c:v>
                </c:pt>
                <c:pt idx="22">
                  <c:v>Litwa</c:v>
                </c:pt>
                <c:pt idx="23">
                  <c:v>Estonia</c:v>
                </c:pt>
                <c:pt idx="24">
                  <c:v>Polska</c:v>
                </c:pt>
                <c:pt idx="25">
                  <c:v>Chorwacja</c:v>
                </c:pt>
                <c:pt idx="26">
                  <c:v>Bułgaria</c:v>
                </c:pt>
                <c:pt idx="27">
                  <c:v>Łotwa</c:v>
                </c:pt>
                <c:pt idx="28">
                  <c:v>Rumunia</c:v>
                </c:pt>
                <c:pt idx="29">
                  <c:v>Szwajcaria</c:v>
                </c:pt>
                <c:pt idx="30">
                  <c:v>Norwegia</c:v>
                </c:pt>
                <c:pt idx="31">
                  <c:v>Islandia</c:v>
                </c:pt>
                <c:pt idx="32">
                  <c:v>Serbia</c:v>
                </c:pt>
                <c:pt idx="33">
                  <c:v>Turcja</c:v>
                </c:pt>
                <c:pt idx="34">
                  <c:v>Czarnogóra</c:v>
                </c:pt>
                <c:pt idx="35">
                  <c:v>Macedonia</c:v>
                </c:pt>
                <c:pt idx="36">
                  <c:v>Albania</c:v>
                </c:pt>
              </c:strCache>
            </c:strRef>
          </c:cat>
          <c:val>
            <c:numRef>
              <c:f>'[812016231x1g096.xls]Data5.1'!$E$11:$E$47</c:f>
              <c:numCache>
                <c:formatCode>0</c:formatCode>
                <c:ptCount val="37"/>
                <c:pt idx="0">
                  <c:v>965.82225920673886</c:v>
                </c:pt>
                <c:pt idx="1">
                  <c:v>600.80802892117424</c:v>
                </c:pt>
                <c:pt idx="2">
                  <c:v>768.31562065056085</c:v>
                </c:pt>
                <c:pt idx="3">
                  <c:v>641.91959421692366</c:v>
                </c:pt>
                <c:pt idx="4">
                  <c:v>1208.7074462336539</c:v>
                </c:pt>
                <c:pt idx="5">
                  <c:v>904.80673676374806</c:v>
                </c:pt>
                <c:pt idx="6">
                  <c:v>597.51322090233293</c:v>
                </c:pt>
                <c:pt idx="7">
                  <c:v>781.51766075818341</c:v>
                </c:pt>
                <c:pt idx="8">
                  <c:v>715.01905783961809</c:v>
                </c:pt>
                <c:pt idx="9">
                  <c:v>646.81769575032672</c:v>
                </c:pt>
                <c:pt idx="10">
                  <c:v>731.2454365371708</c:v>
                </c:pt>
                <c:pt idx="11">
                  <c:v>604.07890823550861</c:v>
                </c:pt>
                <c:pt idx="12">
                  <c:v>607.27849709596035</c:v>
                </c:pt>
                <c:pt idx="13">
                  <c:v>763.64752974037958</c:v>
                </c:pt>
                <c:pt idx="14">
                  <c:v>712.17965952351369</c:v>
                </c:pt>
                <c:pt idx="15">
                  <c:v>550.55884687430546</c:v>
                </c:pt>
                <c:pt idx="16">
                  <c:v>668.40414518420334</c:v>
                </c:pt>
                <c:pt idx="17">
                  <c:v>284.80497721331574</c:v>
                </c:pt>
                <c:pt idx="18">
                  <c:v>655.85939600042514</c:v>
                </c:pt>
                <c:pt idx="19">
                  <c:v>873.20414296253045</c:v>
                </c:pt>
                <c:pt idx="20">
                  <c:v>298.79395571212115</c:v>
                </c:pt>
                <c:pt idx="21">
                  <c:v>452.67635538653349</c:v>
                </c:pt>
                <c:pt idx="22">
                  <c:v>431.5188146482227</c:v>
                </c:pt>
                <c:pt idx="23">
                  <c:v>329.82439280217795</c:v>
                </c:pt>
                <c:pt idx="24">
                  <c:v>356.94328148655615</c:v>
                </c:pt>
                <c:pt idx="25">
                  <c:v>274.40756555791148</c:v>
                </c:pt>
                <c:pt idx="26">
                  <c:v>514.83606793736851</c:v>
                </c:pt>
                <c:pt idx="27">
                  <c:v>408.19953585832411</c:v>
                </c:pt>
                <c:pt idx="28">
                  <c:v>171.84130513704849</c:v>
                </c:pt>
                <c:pt idx="29">
                  <c:v>1716.5556724195631</c:v>
                </c:pt>
                <c:pt idx="30">
                  <c:v>690.81033517816059</c:v>
                </c:pt>
                <c:pt idx="31">
                  <c:v>567.70635357043329</c:v>
                </c:pt>
                <c:pt idx="32">
                  <c:v>399.72908368015646</c:v>
                </c:pt>
                <c:pt idx="33">
                  <c:v>180.397404020397</c:v>
                </c:pt>
                <c:pt idx="34">
                  <c:v>298.98291359298008</c:v>
                </c:pt>
                <c:pt idx="35">
                  <c:v>239.91566772320328</c:v>
                </c:pt>
                <c:pt idx="36">
                  <c:v>246.48876520234313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4101632"/>
        <c:axId val="304091080"/>
      </c:barChart>
      <c:catAx>
        <c:axId val="30410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4091080"/>
        <c:crosses val="autoZero"/>
        <c:auto val="1"/>
        <c:lblAlgn val="ctr"/>
        <c:lblOffset val="100"/>
        <c:noMultiLvlLbl val="0"/>
      </c:catAx>
      <c:valAx>
        <c:axId val="30409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410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095A-355F-4C28-BE84-BE26ED4A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Grażyna D. Grabowska</cp:lastModifiedBy>
  <cp:revision>2</cp:revision>
  <cp:lastPrinted>2017-08-08T16:17:00Z</cp:lastPrinted>
  <dcterms:created xsi:type="dcterms:W3CDTF">2017-11-03T13:46:00Z</dcterms:created>
  <dcterms:modified xsi:type="dcterms:W3CDTF">2017-11-03T13:46:00Z</dcterms:modified>
</cp:coreProperties>
</file>