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F87" w:rsidRPr="009C0F87" w:rsidRDefault="009C0F87" w:rsidP="009C0F87">
      <w:pPr>
        <w:pStyle w:val="OZNPROJEKTUwskazaniedatylubwersjiprojektu"/>
        <w:keepNext/>
      </w:pPr>
      <w:r w:rsidRPr="009C0F87">
        <w:t>Projekt</w:t>
      </w:r>
    </w:p>
    <w:p w:rsidR="009C0F87" w:rsidRPr="009C0F87" w:rsidRDefault="009C0F87" w:rsidP="009C0F87">
      <w:pPr>
        <w:pStyle w:val="OZNRODZAKTUtznustawalubrozporzdzenieiorganwydajcy"/>
      </w:pPr>
      <w:r w:rsidRPr="009C0F87">
        <w:rPr>
          <w:rFonts w:eastAsiaTheme="minorEastAsia"/>
        </w:rPr>
        <w:t>Ustawa</w:t>
      </w:r>
    </w:p>
    <w:p w:rsidR="009C0F87" w:rsidRPr="009C0F87" w:rsidRDefault="009C0F87" w:rsidP="009C0F87">
      <w:pPr>
        <w:pStyle w:val="DATAAKTUdatauchwalenialubwydaniaaktu"/>
      </w:pPr>
      <w:r w:rsidRPr="009C0F87">
        <w:t>z dnia</w:t>
      </w:r>
      <w:r w:rsidR="002E7BAF">
        <w:tab/>
      </w:r>
      <w:r w:rsidR="002E7BAF">
        <w:tab/>
      </w:r>
      <w:r w:rsidR="002E7BAF">
        <w:tab/>
      </w:r>
      <w:r w:rsidR="002E7BAF">
        <w:tab/>
      </w:r>
      <w:r w:rsidR="002E7BAF">
        <w:tab/>
      </w:r>
      <w:r w:rsidR="002E7BAF">
        <w:tab/>
      </w:r>
      <w:r w:rsidR="002E7BAF">
        <w:tab/>
        <w:t xml:space="preserve">2019 r. </w:t>
      </w:r>
    </w:p>
    <w:p w:rsidR="009C0F87" w:rsidRPr="009C0F87" w:rsidRDefault="009C0F87" w:rsidP="009C0F87">
      <w:pPr>
        <w:pStyle w:val="TYTUAKTUprzedmiotregulacjiustawylubrozporzdzenia"/>
      </w:pPr>
      <w:r w:rsidRPr="009C0F87">
        <w:t>o zmianie ustawy o dochodach jednostek samorządu terytorialnego</w:t>
      </w:r>
    </w:p>
    <w:p w:rsidR="009C0F87" w:rsidRPr="009C0F87" w:rsidRDefault="009C0F87" w:rsidP="009C0F87">
      <w:pPr>
        <w:pStyle w:val="ARTartustawynprozporzdzenia"/>
        <w:keepNext/>
      </w:pPr>
      <w:r w:rsidRPr="009C0F87">
        <w:rPr>
          <w:rStyle w:val="Ppogrubienie"/>
        </w:rPr>
        <w:t>Art. 1.</w:t>
      </w:r>
      <w:r w:rsidRPr="009C0F87">
        <w:t> W ustawie z dnia 13 listopada 2003 r. o dochodach jednostek samorządu terytorialnego (Dz. U. z 2018 r. poz. 1530, 2161, 2193 i 2245 oraz z 2019 r. poz. 525) wprowadza się następujące zmiany:</w:t>
      </w:r>
    </w:p>
    <w:p w:rsidR="009C0F87" w:rsidRPr="009C0F87" w:rsidRDefault="009C0F87" w:rsidP="009C0F87">
      <w:pPr>
        <w:pStyle w:val="PKTpunkt"/>
        <w:keepNext/>
      </w:pPr>
      <w:r w:rsidRPr="009C0F87">
        <w:t>1)</w:t>
      </w:r>
      <w:r w:rsidRPr="009C0F87">
        <w:tab/>
        <w:t>w art. 36:</w:t>
      </w:r>
    </w:p>
    <w:p w:rsidR="009C0F87" w:rsidRPr="009C0F87" w:rsidRDefault="009C0F87" w:rsidP="009C0F87">
      <w:pPr>
        <w:pStyle w:val="LITlitera"/>
        <w:keepNext/>
      </w:pPr>
      <w:r w:rsidRPr="009C0F87">
        <w:t>a)</w:t>
      </w:r>
      <w:r w:rsidRPr="009C0F87">
        <w:tab/>
        <w:t>ust. 10 otrzymuje brzmienie:</w:t>
      </w:r>
    </w:p>
    <w:p w:rsidR="009C0F87" w:rsidRPr="009C0F87" w:rsidRDefault="009C0F87" w:rsidP="009C0F87">
      <w:pPr>
        <w:pStyle w:val="ZLITUSTzmustliter"/>
      </w:pPr>
      <w:r>
        <w:t>„</w:t>
      </w:r>
      <w:r w:rsidRPr="009C0F87">
        <w:t xml:space="preserve">10. Jeżeli jednostka samorządu terytorialnego w roku budżetowym, z przyczyn od niej niezależnych, otrzymała część wyrównawczą, równoważącą lub regionalną subwencji ogólnej, w kwocie niższej od należnej lub dokonała </w:t>
      </w:r>
      <w:r w:rsidR="002E7BAF" w:rsidRPr="009C0F87">
        <w:t>wpłat, o których mowa w art. 29, art. 30 i art. 70a,</w:t>
      </w:r>
      <w:r w:rsidR="002E7BAF">
        <w:t xml:space="preserve"> </w:t>
      </w:r>
      <w:r w:rsidRPr="009C0F87">
        <w:t>w kwocie wyższej od należnej – jednostce tej przysługuje prawo do wyrównania różnicy pomiędzy zaniżoną kwotą odpowiedniej części subwencji ogólnej a kwotą należną z tych tytułów lub zwrot zawyżonej kwoty dokonanych wpłat, o których mowa w art. 29, art. 30 i art. 70a.</w:t>
      </w:r>
      <w:r>
        <w:t>”</w:t>
      </w:r>
      <w:r w:rsidRPr="009C0F87">
        <w:t>,</w:t>
      </w:r>
    </w:p>
    <w:p w:rsidR="009C0F87" w:rsidRPr="009C0F87" w:rsidRDefault="009C0F87" w:rsidP="009C0F87">
      <w:pPr>
        <w:pStyle w:val="LITlitera"/>
        <w:keepNext/>
      </w:pPr>
      <w:r w:rsidRPr="009C0F87">
        <w:t>b)</w:t>
      </w:r>
      <w:r w:rsidRPr="009C0F87">
        <w:tab/>
        <w:t>dodaje się ust. 11 i 12 w brzmieniu:</w:t>
      </w:r>
    </w:p>
    <w:p w:rsidR="009C0F87" w:rsidRPr="009C0F87" w:rsidRDefault="009C0F87" w:rsidP="009C0F87">
      <w:pPr>
        <w:pStyle w:val="ZLITUSTzmustliter"/>
      </w:pPr>
      <w:r>
        <w:t>„</w:t>
      </w:r>
      <w:r w:rsidRPr="009C0F87">
        <w:t xml:space="preserve">11. Przyznanie wyrównania różnicy pomiędzy zaniżoną kwotą odpowiedniej części subwencji ogólnej a kwotą należną z tych tytułów lub zwrotu zawyżonej kwoty dokonanych wpłat, o których mowa w art. 29, art. 30 i art. 70a, następuje w drodze decyzji ministra właściwego do spraw finansów publicznych. Wniosek o wyrównanie różnicy pomiędzy zaniżoną kwotą odpowiedniej części subwencji ogólnej a kwotą należną z tych tytułów lub zwrot zawyżonej kwoty dokonanych wpłat, o których mowa w art. 29, art. 30 i art. 70a, jednostka samorządu terytorialnego może złożyć do końca roku następującego po roku budżetowym, w którym otrzymała zaniżoną kwotę subwencji ogólnej lub dokonała </w:t>
      </w:r>
      <w:r w:rsidR="002E7BAF" w:rsidRPr="009C0F87">
        <w:t>wpłat</w:t>
      </w:r>
      <w:r w:rsidR="002E7BAF" w:rsidRPr="00A35090">
        <w:t>, o których mowa w art. 29, art. 30 i art. 70a,</w:t>
      </w:r>
      <w:r w:rsidRPr="009C0F87">
        <w:t xml:space="preserve"> w kwocie wyższej od należnej.</w:t>
      </w:r>
    </w:p>
    <w:p w:rsidR="009C0F87" w:rsidRPr="009C0F87" w:rsidRDefault="009C0F87" w:rsidP="009C0F87">
      <w:pPr>
        <w:pStyle w:val="ZLITUSTzmustliter"/>
      </w:pPr>
      <w:r w:rsidRPr="009C0F87">
        <w:t xml:space="preserve">12. Od kwoty stanowiącej różnicę pomiędzy zaniżoną kwotą odpowiedniej części subwencji ogólnej a kwotą należną z </w:t>
      </w:r>
      <w:r w:rsidRPr="00A35090">
        <w:t>t</w:t>
      </w:r>
      <w:r w:rsidR="002E7BAF" w:rsidRPr="00A35090">
        <w:t>ych</w:t>
      </w:r>
      <w:r w:rsidRPr="00A35090">
        <w:t xml:space="preserve"> tytuł</w:t>
      </w:r>
      <w:r w:rsidR="002E7BAF" w:rsidRPr="00A35090">
        <w:t>ów</w:t>
      </w:r>
      <w:r w:rsidRPr="009C0F87">
        <w:t xml:space="preserve"> lub </w:t>
      </w:r>
      <w:r w:rsidRPr="009C0F87">
        <w:lastRenderedPageBreak/>
        <w:t xml:space="preserve">od kwoty stanowiącej różnicę pomiędzy zawyżoną kwotą wpłat, o których mowa w art. 29, art. 30 i art. 70a, a kwotą należną, jednostce samorządu terytorialnego przysługują odsetki ustalone jak dla zaległości podatkowych, liczone od ostatniego dnia roku budżetowego, w którym jednostka otrzymała zaniżoną kwotę subwencji ogólnej lub dokonała </w:t>
      </w:r>
      <w:r w:rsidR="002E7BAF" w:rsidRPr="002E7BAF">
        <w:t>wpłat</w:t>
      </w:r>
      <w:r w:rsidR="002E7BAF" w:rsidRPr="00A35090">
        <w:t>, o których mowa w art. 29, art. 30 i art. 70a,</w:t>
      </w:r>
      <w:r w:rsidRPr="009C0F87">
        <w:t xml:space="preserve"> w kwocie wyższej od należnej.</w:t>
      </w:r>
      <w:r>
        <w:t>”</w:t>
      </w:r>
      <w:r w:rsidRPr="009C0F87">
        <w:t>;</w:t>
      </w:r>
    </w:p>
    <w:p w:rsidR="009C0F87" w:rsidRPr="009C0F87" w:rsidRDefault="009C0F87" w:rsidP="009C0F87">
      <w:pPr>
        <w:pStyle w:val="PKTpunkt"/>
        <w:keepNext/>
      </w:pPr>
      <w:r w:rsidRPr="009C0F87">
        <w:t>2)</w:t>
      </w:r>
      <w:r w:rsidRPr="009C0F87">
        <w:tab/>
        <w:t>tytuł rozdziału 8a otrzymuje brzmienie:</w:t>
      </w:r>
    </w:p>
    <w:p w:rsidR="009C0F87" w:rsidRPr="009C0F87" w:rsidRDefault="009C0F87" w:rsidP="009C0F87">
      <w:pPr>
        <w:pStyle w:val="ZROZDZODDZPRZEDMzmprzedmrozdzoddzartykuempunktem"/>
      </w:pPr>
      <w:r>
        <w:t>„</w:t>
      </w:r>
      <w:r w:rsidRPr="009C0F87">
        <w:t>Zasady ustalania dla województw w latach 2015–2021 części regionalnej subwencji ogólnej, wpłat do budżetu państwa, rezerwy subwencji ogólnej oraz dotacji celowej</w:t>
      </w:r>
      <w:r>
        <w:t>”</w:t>
      </w:r>
      <w:r w:rsidRPr="009C0F87">
        <w:t>;</w:t>
      </w:r>
    </w:p>
    <w:p w:rsidR="009C0F87" w:rsidRPr="009C0F87" w:rsidRDefault="009C0F87" w:rsidP="009C0F87">
      <w:pPr>
        <w:pStyle w:val="PKTpunkt"/>
      </w:pPr>
      <w:r w:rsidRPr="009C0F87">
        <w:t xml:space="preserve">3) </w:t>
      </w:r>
      <w:r w:rsidRPr="009C0F87">
        <w:tab/>
        <w:t xml:space="preserve">użyte w art. 70a w ust. 1 i w art. 70b w ust. 1 wyrazy </w:t>
      </w:r>
      <w:r>
        <w:t>„</w:t>
      </w:r>
      <w:r w:rsidRPr="009C0F87">
        <w:t>W latach 2015–2019</w:t>
      </w:r>
      <w:r>
        <w:t>”</w:t>
      </w:r>
      <w:r w:rsidRPr="009C0F87">
        <w:t xml:space="preserve"> zastępuje się wyrazami </w:t>
      </w:r>
      <w:r>
        <w:t>„</w:t>
      </w:r>
      <w:r w:rsidRPr="009C0F87">
        <w:t>W latach 2015–2021</w:t>
      </w:r>
      <w:r>
        <w:t>”</w:t>
      </w:r>
      <w:r w:rsidRPr="009C0F87">
        <w:t>;</w:t>
      </w:r>
    </w:p>
    <w:p w:rsidR="009C0F87" w:rsidRPr="009C0F87" w:rsidRDefault="009C0F87" w:rsidP="009C0F87">
      <w:pPr>
        <w:pStyle w:val="PKTpunkt"/>
        <w:keepNext/>
      </w:pPr>
      <w:r w:rsidRPr="009C0F87">
        <w:t xml:space="preserve">4) </w:t>
      </w:r>
      <w:r w:rsidRPr="009C0F87">
        <w:tab/>
        <w:t>po art. 70c dodaje się art. 70d w brzmieniu:</w:t>
      </w:r>
    </w:p>
    <w:p w:rsidR="009C0F87" w:rsidRPr="009C0F87" w:rsidRDefault="009C0F87" w:rsidP="009C0F87">
      <w:pPr>
        <w:pStyle w:val="ZARTzmartartykuempunktem"/>
      </w:pPr>
      <w:r>
        <w:t>„</w:t>
      </w:r>
      <w:r w:rsidRPr="009C0F87">
        <w:t>Art. 70d. 1. W latach 2020 i 2021 w budżecie państwa tworzy się rezerwę subwencji ogólnej, z przeznaczeniem dla województw na dofinansowanie budowy, przebudowy, remontu, utrzymania, ochrony dróg wojewódzkich i zarządzania tymi drogami, którą dysponuje minister właściwy do spraw finansów publicznych.</w:t>
      </w:r>
    </w:p>
    <w:p w:rsidR="009C0F87" w:rsidRPr="009C0F87" w:rsidRDefault="009C0F87" w:rsidP="009C0F87">
      <w:pPr>
        <w:pStyle w:val="ZUSTzmustartykuempunktem"/>
      </w:pPr>
      <w:r w:rsidRPr="009C0F87">
        <w:t>2. Rezerwę, o której mowa w ust. 1, ustala się w ustawie budżetowej w wysokości zapewniającej, aby dochody województw z tytułu części wyrównawczej i części regionalnej subwencji ogólnej pomniejszone o wpłaty do budżetu państwa z przeznaczeniem na część regionalną subwencji ogólnej nie były niższe niż dochody z tych tytułów wyliczone na podstawie art. 24 i art. 25, w brzmieniu obowiązującym przed dniem 14 listopada 2014 r., pomniejszone o wpłaty do budżetu państwa z przeznaczeniem na część regionalną subwencji ogólnej, wyliczone zgodnie z art. 31, w brzmieniu obowiązującym przed dniem 14 listopada 2014 r.</w:t>
      </w:r>
    </w:p>
    <w:p w:rsidR="009C0F87" w:rsidRPr="009C0F87" w:rsidRDefault="009C0F87" w:rsidP="009C0F87">
      <w:pPr>
        <w:pStyle w:val="ZUSTzmustartykuempunktem"/>
      </w:pPr>
      <w:bookmarkStart w:id="0" w:name="mip43920820"/>
      <w:bookmarkEnd w:id="0"/>
      <w:r w:rsidRPr="009C0F87">
        <w:t>3. Rezerwę, o której mowa w ust. 1, rozdziela minister właściwy do spraw finansów publicznych w sposób określony w ust. 4, między województwa, w których powierzchnia dróg wojewódzkich, w przeliczeniu na jednego mieszkańca województwa, jest wyższa od powierzchni dróg wojewódzkich w kraju, w przeliczeniu na jednego mieszkańca kraju.</w:t>
      </w:r>
    </w:p>
    <w:p w:rsidR="009C0F87" w:rsidRPr="009C0F87" w:rsidRDefault="009C0F87" w:rsidP="009C0F87">
      <w:pPr>
        <w:pStyle w:val="ZUSTzmustartykuempunktem"/>
        <w:keepNext/>
      </w:pPr>
      <w:r w:rsidRPr="009C0F87">
        <w:lastRenderedPageBreak/>
        <w:t>4. Kwotę, o której mowa w ust. 1, rozdziela się między województwa w następujący sposób:</w:t>
      </w:r>
    </w:p>
    <w:p w:rsidR="009C0F87" w:rsidRPr="009C0F87" w:rsidRDefault="009C0F87" w:rsidP="009C0F87">
      <w:pPr>
        <w:pStyle w:val="ZPKTzmpktartykuempunktem"/>
      </w:pPr>
      <w:r w:rsidRPr="009C0F87">
        <w:t>1)</w:t>
      </w:r>
      <w:r w:rsidRPr="009C0F87">
        <w:tab/>
        <w:t>oblicza się, z dokładnością do dziesiątego miejsca po przecinku, wskaźnik równy ilorazowi powierzchni dróg wojewódzkich w kraju i liczby mieszkańców kraju;</w:t>
      </w:r>
    </w:p>
    <w:p w:rsidR="009C0F87" w:rsidRPr="009C0F87" w:rsidRDefault="009C0F87" w:rsidP="009C0F87">
      <w:pPr>
        <w:pStyle w:val="ZPKTzmpktartykuempunktem"/>
      </w:pPr>
      <w:r w:rsidRPr="009C0F87">
        <w:t>2)</w:t>
      </w:r>
      <w:r w:rsidRPr="009C0F87">
        <w:tab/>
        <w:t>oblicza się, z dokładnością do dziesiątego miejsca po przecinku, dla danego województwa wskaźnik równy ilorazowi powierzchni dróg wojewódzkich w województwie i liczby mieszkańców tego województwa;</w:t>
      </w:r>
    </w:p>
    <w:p w:rsidR="009C0F87" w:rsidRPr="009C0F87" w:rsidRDefault="009C0F87" w:rsidP="009C0F87">
      <w:pPr>
        <w:pStyle w:val="ZPKTzmpktartykuempunktem"/>
      </w:pPr>
      <w:r w:rsidRPr="009C0F87">
        <w:t>3)</w:t>
      </w:r>
      <w:r w:rsidRPr="009C0F87">
        <w:tab/>
        <w:t>ustala się województwa, dla których wskaźnik określony w pkt 2 jest wyższy niż wskaźnik określony w pkt 1;</w:t>
      </w:r>
    </w:p>
    <w:p w:rsidR="009C0F87" w:rsidRPr="009C0F87" w:rsidRDefault="009C0F87" w:rsidP="009C0F87">
      <w:pPr>
        <w:pStyle w:val="ZPKTzmpktartykuempunktem"/>
      </w:pPr>
      <w:r w:rsidRPr="009C0F87">
        <w:t>4)</w:t>
      </w:r>
      <w:r w:rsidRPr="009C0F87">
        <w:tab/>
        <w:t>oblicza się – dla województw ustalonych zgodnie z pkt 3 – sumę wskaźników, o których mowa w pkt 2;</w:t>
      </w:r>
    </w:p>
    <w:p w:rsidR="009C0F87" w:rsidRPr="009C0F87" w:rsidRDefault="009C0F87" w:rsidP="009C0F87">
      <w:pPr>
        <w:pStyle w:val="ZPKTzmpktartykuempunktem"/>
      </w:pPr>
      <w:r w:rsidRPr="009C0F87">
        <w:t>5)</w:t>
      </w:r>
      <w:r w:rsidRPr="009C0F87">
        <w:tab/>
        <w:t>oblicza się, z dokładnością do dziesiątego miejsca po przecinku – dla każdego z województw ustalonych zgodnie z pkt 3 – współczynnik udziału wskaźnika, o którym mowa w pkt 2, w sumie wskaźników obliczonej zgodnie z pkt 4;</w:t>
      </w:r>
    </w:p>
    <w:p w:rsidR="009C0F87" w:rsidRPr="009C0F87" w:rsidRDefault="009C0F87" w:rsidP="009C0F87">
      <w:pPr>
        <w:pStyle w:val="ZPKTzmpktartykuempunktem"/>
      </w:pPr>
      <w:r w:rsidRPr="009C0F87">
        <w:t>6)</w:t>
      </w:r>
      <w:r w:rsidRPr="009C0F87">
        <w:tab/>
        <w:t>wysokość kwoty należnej województwu oblicza się jako iloczyn współczynnika udziału, obliczonego w sposób określony w pkt 5, i kwoty, o której mowa w ust. 2.</w:t>
      </w:r>
    </w:p>
    <w:p w:rsidR="009C0F87" w:rsidRPr="009C0F87" w:rsidRDefault="009C0F87" w:rsidP="009C0F87">
      <w:pPr>
        <w:pStyle w:val="ZUSTzmustartykuempunktem"/>
      </w:pPr>
      <w:r w:rsidRPr="009C0F87">
        <w:t>5. Minister właściwy do spraw finansów publicznych informuje o wysokości środków z rezerwy subwencji ogólnej właściwe województwa w terminach określonych w art. 33 ust. 1 pkt 1 i 2. Przepis art. 33 ust. 1a stosuje się odpowiednio.</w:t>
      </w:r>
      <w:r>
        <w:t>”</w:t>
      </w:r>
      <w:r w:rsidRPr="009C0F87">
        <w:t>.</w:t>
      </w:r>
    </w:p>
    <w:p w:rsidR="009C0F87" w:rsidRPr="009C0F87" w:rsidRDefault="009C0F87" w:rsidP="009C0F87">
      <w:pPr>
        <w:pStyle w:val="ARTartustawynprozporzdzenia"/>
        <w:keepNext/>
      </w:pPr>
      <w:r w:rsidRPr="009C0F87">
        <w:rPr>
          <w:rStyle w:val="Ppogrubienie"/>
        </w:rPr>
        <w:t>Art. 2.</w:t>
      </w:r>
      <w:r w:rsidRPr="009C0F87">
        <w:t> 1. W latach 2020 i 2021, dla województw, które nie są obowiązane do dokonywania wpłat, o których mowa w art. 70a ustawy zmienianej w art. 1, w brzmieniu nadanym niniejszą ustawą, ustala się różnicę pomiędzy sumą:</w:t>
      </w:r>
    </w:p>
    <w:p w:rsidR="009C0F87" w:rsidRPr="009C0F87" w:rsidRDefault="009C0F87" w:rsidP="009C0F87">
      <w:pPr>
        <w:pStyle w:val="PKTpunkt"/>
      </w:pPr>
      <w:r w:rsidRPr="009C0F87">
        <w:t>1)</w:t>
      </w:r>
      <w:r w:rsidRPr="009C0F87">
        <w:tab/>
        <w:t>części wyrównawczej subwencji ogólnej, wyliczonej na rok budżetowy zgodnie z art. 24 ust. 1–8 ustawy zmienianej w art. 1,</w:t>
      </w:r>
    </w:p>
    <w:p w:rsidR="009C0F87" w:rsidRPr="009C0F87" w:rsidRDefault="009C0F87" w:rsidP="009C0F87">
      <w:pPr>
        <w:pStyle w:val="PKTpunkt"/>
      </w:pPr>
      <w:r w:rsidRPr="009C0F87">
        <w:t>2)</w:t>
      </w:r>
      <w:r w:rsidRPr="009C0F87">
        <w:tab/>
        <w:t>części regionalnej subwencji ogólnej, wyliczonej na rok budżetowy zgodnie z art. 70b ustawy zmienianej w art. 1, w brzmieniu nadanym niniejszą ustawą,</w:t>
      </w:r>
    </w:p>
    <w:p w:rsidR="009C0F87" w:rsidRPr="009C0F87" w:rsidRDefault="009C0F87" w:rsidP="009C0F87">
      <w:pPr>
        <w:pStyle w:val="PKTpunkt"/>
        <w:keepNext/>
      </w:pPr>
      <w:r w:rsidRPr="009C0F87">
        <w:lastRenderedPageBreak/>
        <w:t>3)</w:t>
      </w:r>
      <w:r w:rsidRPr="009C0F87">
        <w:tab/>
        <w:t>środków z rezerwy subwencji ogólnej, wyliczonych na rok budżetowy zgodnie z art. </w:t>
      </w:r>
      <w:r w:rsidR="001A2B6B">
        <w:t xml:space="preserve">70d ustawy zmienianej </w:t>
      </w:r>
      <w:r w:rsidR="001A2B6B" w:rsidRPr="00A35090">
        <w:t>w art. 1</w:t>
      </w:r>
    </w:p>
    <w:p w:rsidR="009C0F87" w:rsidRPr="009C0F87" w:rsidRDefault="009C0F87" w:rsidP="009C0F87">
      <w:pPr>
        <w:pStyle w:val="CZWSPPKTczwsplnapunktw"/>
      </w:pPr>
      <w:r w:rsidRPr="009C0F87">
        <w:t>– a sumą części wyrównawczej i części regionalnej subwencji ogólnej, wyliczonych na rok budżetowy zgodnie z art. 24 i art. 25 ustawy zmienianej w art. 1, w brzmieniu obowiązującym przed dniem 14 listopada 2014 r.</w:t>
      </w:r>
    </w:p>
    <w:p w:rsidR="009C0F87" w:rsidRPr="009C0F87" w:rsidRDefault="009C0F87" w:rsidP="009C0F87">
      <w:pPr>
        <w:pStyle w:val="USTustnpkodeksu"/>
      </w:pPr>
      <w:r w:rsidRPr="009C0F87">
        <w:t>2. Jeżeli dla danego województwa różnica, wyliczona zgodnie z ust. 1, jest kwotą dodatnią, to część regionalna subwencji ogólnej, o której mowa w art. 70b ustawy zmienianej w art. 1, w brzmieniu nadanym niniejszą ustawą, podlega zmniejszeniu o tę kwotę.</w:t>
      </w:r>
    </w:p>
    <w:p w:rsidR="009C0F87" w:rsidRPr="009C0F87" w:rsidRDefault="009C0F87" w:rsidP="009C0F87">
      <w:pPr>
        <w:pStyle w:val="USTustnpkodeksu"/>
        <w:keepNext/>
      </w:pPr>
      <w:r w:rsidRPr="009C0F87">
        <w:t>3. Kwotę stanowiącą sumę zmniejszeń, o których mowa w ust. 2, rozdziela się między województwa, dla których różnica, wyliczona zgodnie z ust. 1, ma wartość ujemną, w następujący sposób:</w:t>
      </w:r>
    </w:p>
    <w:p w:rsidR="009C0F87" w:rsidRPr="009C0F87" w:rsidRDefault="009C0F87" w:rsidP="009C0F87">
      <w:pPr>
        <w:pStyle w:val="PKTpunkt"/>
      </w:pPr>
      <w:r w:rsidRPr="009C0F87">
        <w:t>1)</w:t>
      </w:r>
      <w:r w:rsidRPr="009C0F87">
        <w:tab/>
        <w:t>dla danego województwa oblicza się, z dokładnością do dziesiątego miejsca po przecinku, udział ujemnej różnicy, wyliczonej zgodnie z ust. 1, w łącznej kwocie ujemnych różnic dla wszystkich województw;</w:t>
      </w:r>
    </w:p>
    <w:p w:rsidR="009C0F87" w:rsidRPr="009C0F87" w:rsidRDefault="009C0F87" w:rsidP="009C0F87">
      <w:pPr>
        <w:pStyle w:val="PKTpunkt"/>
      </w:pPr>
      <w:r w:rsidRPr="009C0F87">
        <w:t>2)</w:t>
      </w:r>
      <w:r w:rsidRPr="009C0F87">
        <w:tab/>
        <w:t>współczynnik udziału, obliczony w sposób określony w pkt 1, mnoży się przez kwotę stanowiącą sumę zmniejszeń, o których mowa w ust. 2;</w:t>
      </w:r>
    </w:p>
    <w:p w:rsidR="009C0F87" w:rsidRPr="009C0F87" w:rsidRDefault="009C0F87" w:rsidP="009C0F87">
      <w:pPr>
        <w:pStyle w:val="PKTpunkt"/>
      </w:pPr>
      <w:r w:rsidRPr="009C0F87">
        <w:t>3)</w:t>
      </w:r>
      <w:r w:rsidRPr="009C0F87">
        <w:tab/>
        <w:t>jeżeli kwota wyliczona dla danego województwa zgodnie z pkt 2 jest niższa od wartości bezwzględnej z ujemnej różnicy, wyliczonej dla tego województwa zgodnie z ust. 1 – wysokość kwoty zwiększającej część regionalną subwencji ogólnej, o której mowa w art. 70b ustawy zmienianej w art. 1, w brzmieniu nadanym niniejszą ustawą, jest równa kwocie wyliczonej zgodnie z pkt 2;</w:t>
      </w:r>
    </w:p>
    <w:p w:rsidR="009C0F87" w:rsidRPr="009C0F87" w:rsidRDefault="009C0F87" w:rsidP="009C0F87">
      <w:pPr>
        <w:pStyle w:val="PKTpunkt"/>
      </w:pPr>
      <w:r w:rsidRPr="009C0F87">
        <w:t>4)</w:t>
      </w:r>
      <w:r w:rsidRPr="009C0F87">
        <w:tab/>
        <w:t>jeżeli kwota wyliczona dla danego województwa zgodnie z pkt 2 jest wyższa od wartości bezwzględnej z ujemnej różnicy, wyliczonej dla tego województwa zgodnie z ust. 1 – wysokość kwoty zwiększającej część regionalną subwencji ogólnej, o której mowa w art. 70b ustawy zmienianej w art. 1, w brzmieniu nadanym niniejszą ustawą, jest równa wartości bezwzględnej z ujemnej różnicy, wyliczonej zgodnie z ust. 1, a pozostałe środki przeznaczone są na zwiększenie części regionalnej subwencji ogólnej dla województw, o których mowa w ust. 2, proporcjonalnie do udziału kwoty zmniejszenia dla województwa części regionalnej subwencji ogólnej w kwocie stanowiącej sumę zmniejszeń, o których mowa w ust. 2.</w:t>
      </w:r>
    </w:p>
    <w:p w:rsidR="009C0F87" w:rsidRPr="009C0F87" w:rsidRDefault="009C0F87" w:rsidP="009C0F87">
      <w:pPr>
        <w:pStyle w:val="USTustnpkodeksu"/>
      </w:pPr>
      <w:r w:rsidRPr="009C0F87">
        <w:lastRenderedPageBreak/>
        <w:t>4. Minister właściwy do spraw finansów publicznych, w terminach określonych w art. 33 ust. 1 pkt 1 i 2 ustawy zmienianej w art. 1, informuje województwa o wysokości części regionalnej subwencji ogólnej w wysokości 90% kwoty, o której mowa w art. 70b ustawy zmienianej w art. 1, w brzmieniu nadanym niniejszą ustawą, skorygowanej zgodnie z ust. 2 i 3.</w:t>
      </w:r>
    </w:p>
    <w:p w:rsidR="009C0F87" w:rsidRPr="009C0F87" w:rsidRDefault="009C0F87" w:rsidP="009C0F87">
      <w:pPr>
        <w:pStyle w:val="USTustnpkodeksu"/>
      </w:pPr>
      <w:r w:rsidRPr="009C0F87">
        <w:t>5. W przypadku gdy kwota wpłat województw do budżetu państwa nie zostanie zmniejszona w sposób określony w art. 70a ust. 4 ustawy zmienianej w art. 1, minister właściwy do spraw finansów publicznych, w terminie do dnia 30 września roku budżetowego, informuje województwa o odpowiednim zwiększeniu kwoty części regionalnej, o której mowa w ust. 4.</w:t>
      </w:r>
    </w:p>
    <w:p w:rsidR="009C0F87" w:rsidRPr="009C0F87" w:rsidRDefault="009C0F87" w:rsidP="009C0F87">
      <w:pPr>
        <w:pStyle w:val="ARTartustawynprozporzdzenia"/>
        <w:keepNext/>
      </w:pPr>
      <w:r w:rsidRPr="009C0F87">
        <w:rPr>
          <w:rStyle w:val="Ppogrubienie"/>
        </w:rPr>
        <w:t>Art. 3.</w:t>
      </w:r>
      <w:r w:rsidRPr="009C0F87">
        <w:t xml:space="preserve"> Przepisy ustawy zmienianej w art. 1, w brzmieniu nadanym niniejszą ustawą, w zakresie ustalenia części regionalnej subwencji ogólnej dla województw i rezerwy subwencji ogólnej, o której mowa w art. 70d ust. 1 ustawy zmienianej w </w:t>
      </w:r>
      <w:r w:rsidRPr="00A35090">
        <w:t xml:space="preserve">art. 1, stosuje </w:t>
      </w:r>
      <w:r w:rsidRPr="009C0F87">
        <w:t>się po raz pierwszy do:</w:t>
      </w:r>
    </w:p>
    <w:p w:rsidR="009C0F87" w:rsidRPr="009C0F87" w:rsidRDefault="009C0F87" w:rsidP="009C0F87">
      <w:pPr>
        <w:pStyle w:val="PKTpunkt"/>
      </w:pPr>
      <w:r w:rsidRPr="009C0F87">
        <w:t>1)</w:t>
      </w:r>
      <w:r w:rsidRPr="009C0F87">
        <w:tab/>
        <w:t>opracowania projektu ustawy budżetowej i projektów uchwał budżetowych na rok 2020;</w:t>
      </w:r>
    </w:p>
    <w:p w:rsidR="009C0F87" w:rsidRPr="009C0F87" w:rsidRDefault="009C0F87" w:rsidP="009C0F87">
      <w:pPr>
        <w:pStyle w:val="PKTpunkt"/>
      </w:pPr>
      <w:r w:rsidRPr="009C0F87">
        <w:t>2)</w:t>
      </w:r>
      <w:r w:rsidRPr="009C0F87">
        <w:tab/>
        <w:t>ustawy budżetowej i uchwał budżetowych na rok 2020.</w:t>
      </w:r>
    </w:p>
    <w:p w:rsidR="009C0F87" w:rsidRPr="009C0F87" w:rsidRDefault="009C0F87" w:rsidP="009C0F87">
      <w:pPr>
        <w:pStyle w:val="ARTartustawynprozporzdzenia"/>
      </w:pPr>
      <w:r w:rsidRPr="009C0F87">
        <w:rPr>
          <w:rStyle w:val="Ppogrubienie"/>
        </w:rPr>
        <w:t>Art. 4.</w:t>
      </w:r>
      <w:r w:rsidRPr="009C0F87">
        <w:t xml:space="preserve"> Przepis art. 36 ust. 10 ustawy zmienianej w art. 1, w brzmieniu nadanym niniejszą ustawą, stosuje się po raz pierwszy do części wyrównawczej, równoważącej i regionalnej subwencji ogólnej oraz </w:t>
      </w:r>
      <w:r w:rsidR="002E7BAF" w:rsidRPr="002E7BAF">
        <w:t>wpłat</w:t>
      </w:r>
      <w:r w:rsidR="002E7BAF" w:rsidRPr="00A35090">
        <w:t>, o których mowa w art. 29, art. 30 i art. 70a ustawy zmienianej w art. 1,</w:t>
      </w:r>
      <w:r w:rsidRPr="009C0F87">
        <w:t xml:space="preserve"> wyliczonych na rok 2020.</w:t>
      </w:r>
    </w:p>
    <w:p w:rsidR="009C0F87" w:rsidRPr="009C0F87" w:rsidRDefault="009C0F87" w:rsidP="009C0F87">
      <w:pPr>
        <w:pStyle w:val="ARTartustawynprozporzdzenia"/>
      </w:pPr>
      <w:r w:rsidRPr="009C0F87">
        <w:rPr>
          <w:rStyle w:val="Ppogrubienie"/>
        </w:rPr>
        <w:t>Art. 5.</w:t>
      </w:r>
      <w:r w:rsidRPr="009C0F87">
        <w:t> Na potrzeby opracowania wieloletniej prognozy finansowej, o której mowa w art. 226 ustawy z dnia 27 sierpnia 2009 r. o finansach publicznych (Dz. U. z 2019 r. poz. 869), na rok 2020 i lata następne, samorządy województw przyjmują kwoty części regionalnej subwencji ogólnej, o których mowa w art. 2 ust. 4, ustalone na rok 2020.</w:t>
      </w:r>
    </w:p>
    <w:p w:rsidR="009C0F87" w:rsidRPr="009C0F87" w:rsidRDefault="009C0F87" w:rsidP="009C0F87">
      <w:pPr>
        <w:pStyle w:val="ARTartustawynprozporzdzenia"/>
      </w:pPr>
      <w:bookmarkStart w:id="1" w:name="mip40832618"/>
      <w:bookmarkEnd w:id="1"/>
      <w:r w:rsidRPr="009C0F87">
        <w:rPr>
          <w:rStyle w:val="Ppogrubienie"/>
        </w:rPr>
        <w:t>Art. 6.</w:t>
      </w:r>
      <w:r w:rsidRPr="009C0F87">
        <w:t> W sprawach dotyczących rozliczenia i zwrotu dotacji celowych, o których mowa w art. 70c ust. 5 ustawy zmienianej w art. 1, udzielonych w latach 2015–2019, stosuje się przepisy dotychczasowe.</w:t>
      </w:r>
    </w:p>
    <w:p w:rsidR="009C0F87" w:rsidRPr="009C0F87" w:rsidRDefault="009C0F87" w:rsidP="009C0F87">
      <w:pPr>
        <w:pStyle w:val="ARTartustawynprozporzdzenia"/>
      </w:pPr>
      <w:r w:rsidRPr="009C0F87">
        <w:rPr>
          <w:rStyle w:val="Ppogrubienie"/>
        </w:rPr>
        <w:t>Art. 7.</w:t>
      </w:r>
      <w:r w:rsidRPr="009C0F87">
        <w:t> Ustawa wchodzi w życie po upływie 14 dni od dnia ogłoszenia, z wyjątkiem art. 1 pkt 1, który wchodzi w życie z dniem 1 stycznia 2020 r.</w:t>
      </w:r>
    </w:p>
    <w:p w:rsidR="005E31CC" w:rsidRPr="009C0F87" w:rsidRDefault="005E31CC" w:rsidP="00251963">
      <w:pPr>
        <w:rPr>
          <w:rStyle w:val="Ppogrubienie"/>
          <w:b w:val="0"/>
        </w:rPr>
      </w:pPr>
    </w:p>
    <w:sectPr w:rsidR="005E31CC" w:rsidRPr="009C0F87" w:rsidSect="00395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44" w:rsidRDefault="00145244">
      <w:r>
        <w:separator/>
      </w:r>
    </w:p>
  </w:endnote>
  <w:endnote w:type="continuationSeparator" w:id="0">
    <w:p w:rsidR="00145244" w:rsidRDefault="0014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AF" w:rsidRDefault="002E7B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AF" w:rsidRDefault="002E7B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AF" w:rsidRDefault="002E7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44" w:rsidRDefault="00145244">
      <w:r>
        <w:separator/>
      </w:r>
    </w:p>
  </w:footnote>
  <w:footnote w:type="continuationSeparator" w:id="0">
    <w:p w:rsidR="00145244" w:rsidRDefault="0014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AF" w:rsidRDefault="002E7B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607B71">
      <w:rPr>
        <w:rStyle w:val="Ppogrubienie"/>
        <w:noProof/>
      </w:rPr>
      <w:t>5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2F1190">
      <w:rPr>
        <w:rStyle w:val="Ppogrubienie"/>
        <w:noProof/>
      </w:rPr>
      <w:t>30.08.2019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bookmarkStart w:id="2" w:name="_GoBack"/>
        <w:bookmarkEnd w:id="2"/>
        <w:r w:rsidR="00147847">
          <w:rPr>
            <w:rStyle w:val="Ppogrubienie"/>
            <w:noProof/>
          </w:rPr>
          <w:t>21-27.NK.DOCX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607B71">
          <w:rPr>
            <w:rStyle w:val="Ppogrubienie"/>
            <w:noProof/>
          </w:rPr>
          <w:t>2</w:t>
        </w:r>
        <w:r w:rsidRPr="00084E7F">
          <w:rPr>
            <w:rStyle w:val="Ppogrubienie"/>
          </w:rPr>
          <w:fldChar w:fldCharType="end"/>
        </w:r>
      </w:sdtContent>
    </w:sdt>
  </w:p>
  <w:p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D3540" wp14:editId="7D50C14C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79AD58" id="Łącznik prostoliniowy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Pr="00084E7F">
      <w:rPr>
        <w:rStyle w:val="Ppogrubienie"/>
      </w:rPr>
      <w:t>VII</w:t>
    </w:r>
    <w:r w:rsidR="00E03FA3">
      <w:rPr>
        <w:rStyle w:val="Ppogrubienie"/>
      </w:rPr>
      <w:t>I</w:t>
    </w:r>
    <w:r w:rsidRPr="00084E7F">
      <w:rPr>
        <w:rStyle w:val="Ppogrubienie"/>
      </w:rPr>
      <w:t xml:space="preserve"> kadencja/druk</w:t>
    </w:r>
    <w:r w:rsidR="009C0F87">
      <w:rPr>
        <w:rStyle w:val="Ppogrubienie"/>
      </w:rPr>
      <w:t xml:space="preserve"> 3697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A35090">
      <w:rPr>
        <w:rStyle w:val="Ppogrubienie"/>
        <w:noProof/>
      </w:rPr>
      <w:t>5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2F1190">
      <w:rPr>
        <w:rStyle w:val="Ppogrubienie"/>
        <w:noProof/>
      </w:rPr>
      <w:t>30.08.2019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A35090">
          <w:rPr>
            <w:rStyle w:val="Ppogrubienie"/>
            <w:noProof/>
          </w:rPr>
          <w:t>V4_21-27.NK.DOCX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96B40" wp14:editId="69D45196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1C72E" id="Łącznik prostoliniow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5244"/>
    <w:rsid w:val="0014784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2B6B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7BAF"/>
    <w:rsid w:val="002F0A00"/>
    <w:rsid w:val="002F0CFA"/>
    <w:rsid w:val="002F1190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11B7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07B71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0F87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09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387"/>
    <w:rsid w:val="00D402FB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3FA3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AE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CF217"/>
  <w15:docId w15:val="{636C8F18-9A3A-4BBB-8F56-344D9A9E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4A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s4470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8C6EF-C5CB-CC4D-9303-67B70B5B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C:\Users\ks4470\AppData\Roaming\Microsoft\Templates\Szablon aktu prawnego 4_0.dotm</Template>
  <TotalTime>0</TotalTime>
  <Pages>6</Pages>
  <Words>1417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Janusz A. Markiewicz</cp:lastModifiedBy>
  <cp:revision>2</cp:revision>
  <cp:lastPrinted>2019-08-30T13:27:00Z</cp:lastPrinted>
  <dcterms:created xsi:type="dcterms:W3CDTF">2019-08-30T15:07:00Z</dcterms:created>
  <dcterms:modified xsi:type="dcterms:W3CDTF">2019-08-30T15:07:00Z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