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AB39C" w14:textId="16BDE39C" w:rsidR="001001C8" w:rsidRPr="001001C8" w:rsidRDefault="001001C8" w:rsidP="007C0957">
      <w:pPr>
        <w:pStyle w:val="OZNRODZAKTUtznustawalubrozporzdzenieiorganwydajcy"/>
        <w:spacing w:after="0"/>
        <w:jc w:val="right"/>
        <w:rPr>
          <w:b w:val="0"/>
        </w:rPr>
      </w:pPr>
      <w:bookmarkStart w:id="0" w:name="_Hlk90804347"/>
      <w:r w:rsidRPr="001001C8">
        <w:rPr>
          <w:b w:val="0"/>
        </w:rPr>
        <w:t xml:space="preserve">Projekt, </w:t>
      </w:r>
      <w:r w:rsidR="005C4E1F">
        <w:rPr>
          <w:b w:val="0"/>
        </w:rPr>
        <w:t>1</w:t>
      </w:r>
      <w:r w:rsidR="00D82DA2">
        <w:rPr>
          <w:b w:val="0"/>
        </w:rPr>
        <w:t>7</w:t>
      </w:r>
      <w:r w:rsidRPr="001001C8">
        <w:rPr>
          <w:b w:val="0"/>
        </w:rPr>
        <w:t>.0</w:t>
      </w:r>
      <w:r w:rsidR="00D82DA2">
        <w:rPr>
          <w:b w:val="0"/>
        </w:rPr>
        <w:t>9</w:t>
      </w:r>
      <w:r w:rsidRPr="001001C8">
        <w:rPr>
          <w:b w:val="0"/>
        </w:rPr>
        <w:t>.2022</w:t>
      </w:r>
    </w:p>
    <w:p w14:paraId="16495632" w14:textId="77777777" w:rsidR="001001C8" w:rsidRDefault="001001C8" w:rsidP="007C0957">
      <w:pPr>
        <w:pStyle w:val="OZNRODZAKTUtznustawalubrozporzdzenieiorganwydajcy"/>
        <w:spacing w:after="0"/>
      </w:pPr>
    </w:p>
    <w:p w14:paraId="783304B7" w14:textId="77777777" w:rsidR="00AC627C" w:rsidRDefault="00AC627C" w:rsidP="007C0957">
      <w:pPr>
        <w:pStyle w:val="OZNRODZAKTUtznustawalubrozporzdzenieiorganwydajcy"/>
        <w:spacing w:after="0"/>
      </w:pPr>
      <w:r>
        <w:t>USTAWA</w:t>
      </w:r>
    </w:p>
    <w:p w14:paraId="5848CC73" w14:textId="77777777" w:rsidR="00AC627C" w:rsidRDefault="00AC627C" w:rsidP="007C0957">
      <w:pPr>
        <w:pStyle w:val="DATAAKTUdatauchwalenialubwydaniaaktu"/>
        <w:spacing w:before="0" w:after="0"/>
      </w:pPr>
      <w:r>
        <w:t>z dnia …</w:t>
      </w:r>
    </w:p>
    <w:p w14:paraId="7BD84E3C" w14:textId="0CDDA101" w:rsidR="00AC627C" w:rsidRDefault="00AC627C" w:rsidP="007C0957">
      <w:pPr>
        <w:pStyle w:val="TYTUAKTUprzedmiotregulacjiustawylubrozporzdzenia"/>
        <w:spacing w:before="0" w:after="0"/>
        <w:rPr>
          <w:rStyle w:val="IGPindeksgrnyipogrubienie"/>
        </w:rPr>
      </w:pPr>
      <w:r>
        <w:t>o zmianie ustaw w celu likwidowania zbędnych barier administracyjnych i prawnych</w:t>
      </w:r>
      <w:r>
        <w:rPr>
          <w:rStyle w:val="IGPindeksgrnyipogrubienie"/>
          <w:specVanish w:val="0"/>
        </w:rPr>
        <w:footnoteReference w:id="2"/>
      </w:r>
      <w:r>
        <w:rPr>
          <w:rStyle w:val="IGPindeksgrnyipogrubienie"/>
          <w:specVanish w:val="0"/>
        </w:rPr>
        <w:t>)</w:t>
      </w:r>
    </w:p>
    <w:p w14:paraId="2D764B4D" w14:textId="77777777" w:rsidR="00CB2D79" w:rsidRPr="00CB2D79" w:rsidRDefault="00CB2D79" w:rsidP="00CB2D79">
      <w:pPr>
        <w:pStyle w:val="ARTartustawynprozporzdzenia"/>
      </w:pPr>
    </w:p>
    <w:p w14:paraId="343E5AAB" w14:textId="6FE107CD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t>Art. 1.</w:t>
      </w:r>
      <w:r>
        <w:t xml:space="preserve"> W ustawie z dnia 14 czerwca 1960 r. – Kodeks postępowania administracyjnego (Dz. U. z 2021 r. poz. 735, 1491 i 2052</w:t>
      </w:r>
      <w:r w:rsidR="00232A4F">
        <w:t xml:space="preserve"> oraz z 2022 r. poz. 1301</w:t>
      </w:r>
      <w:r>
        <w:t>) wprowadza się następujące zmiany:</w:t>
      </w:r>
    </w:p>
    <w:p w14:paraId="57292A29" w14:textId="77777777" w:rsidR="00AC627C" w:rsidRDefault="00AC627C" w:rsidP="007C0957">
      <w:pPr>
        <w:pStyle w:val="Bezodstpw"/>
      </w:pPr>
      <w:r>
        <w:t>1) w art. 127 po § 1 dodaje się § 1a w brzmieniu:</w:t>
      </w:r>
    </w:p>
    <w:p w14:paraId="61435124" w14:textId="2F6A24DE" w:rsidR="00AC627C" w:rsidRDefault="00AC627C" w:rsidP="007C0957">
      <w:pPr>
        <w:pStyle w:val="ZUSTzmustartykuempunktem"/>
      </w:pPr>
      <w:r>
        <w:t xml:space="preserve">„§ 1a. </w:t>
      </w:r>
      <w:bookmarkStart w:id="1" w:name="_Hlk93851192"/>
      <w:r w:rsidR="00232A4F">
        <w:t>D</w:t>
      </w:r>
      <w:r>
        <w:t>ecyzj</w:t>
      </w:r>
      <w:r w:rsidR="00232A4F">
        <w:t>a</w:t>
      </w:r>
      <w:r>
        <w:t xml:space="preserve"> wydan</w:t>
      </w:r>
      <w:r w:rsidR="00232A4F">
        <w:t>a</w:t>
      </w:r>
      <w:r>
        <w:t xml:space="preserve"> w pierwszej instancji, od której uzasadnienia organ odstąpił z powodu uwzględnienia w całości żądania strony, </w:t>
      </w:r>
      <w:bookmarkEnd w:id="1"/>
      <w:r w:rsidR="00232A4F">
        <w:t>jest ostateczna</w:t>
      </w:r>
      <w:r>
        <w:t>.”;</w:t>
      </w:r>
    </w:p>
    <w:p w14:paraId="6E8CC1A5" w14:textId="77777777" w:rsidR="00AC627C" w:rsidRDefault="00AC627C" w:rsidP="007C0957">
      <w:pPr>
        <w:pStyle w:val="PKTpunkt"/>
      </w:pPr>
      <w:r>
        <w:t>2) w art. 127a § 1 otrzymuje brzmienie:</w:t>
      </w:r>
    </w:p>
    <w:p w14:paraId="28EDC28A" w14:textId="0FC36508" w:rsidR="00AC627C" w:rsidRDefault="00AC627C" w:rsidP="007C0957">
      <w:pPr>
        <w:pStyle w:val="ZUSTzmustartykuempunktem"/>
      </w:pPr>
      <w:r>
        <w:t>„§ 1. Przed upływem terminu do wniesienia odwołania strona może zrzec się prawa do wniesienia odwołania wobec organu administracji publicznej, który wydał decyzję.”.</w:t>
      </w:r>
    </w:p>
    <w:p w14:paraId="7F0D5C54" w14:textId="10A4A29A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342C62">
        <w:rPr>
          <w:rStyle w:val="Ppogrubienie"/>
        </w:rPr>
        <w:t>2</w:t>
      </w:r>
      <w:r>
        <w:rPr>
          <w:rStyle w:val="Ppogrubienie"/>
        </w:rPr>
        <w:t>.</w:t>
      </w:r>
      <w:r>
        <w:t xml:space="preserve"> W </w:t>
      </w:r>
      <w:bookmarkStart w:id="2" w:name="_Hlk90840808"/>
      <w:r>
        <w:t xml:space="preserve">ustawie </w:t>
      </w:r>
      <w:bookmarkStart w:id="3" w:name="_Hlk93839749"/>
      <w:r>
        <w:t xml:space="preserve">z dnia 17 listopada 1964 r. – Kodeks postępowania cywilnego </w:t>
      </w:r>
      <w:bookmarkEnd w:id="2"/>
      <w:bookmarkEnd w:id="3"/>
      <w:r>
        <w:t>(Dz. U. z 2021 r. poz. 1805 z późn. zm.</w:t>
      </w:r>
      <w:r>
        <w:rPr>
          <w:rStyle w:val="Odwoanieprzypisudolnego"/>
        </w:rPr>
        <w:footnoteReference w:id="3"/>
      </w:r>
      <w:r>
        <w:t xml:space="preserve">) wprowadza się następujące zmiany: </w:t>
      </w:r>
    </w:p>
    <w:p w14:paraId="3E9BEDD0" w14:textId="77777777" w:rsidR="00932645" w:rsidRDefault="00932645" w:rsidP="00932645">
      <w:pPr>
        <w:pStyle w:val="PKTpunkt"/>
      </w:pPr>
      <w:r>
        <w:t>1)</w:t>
      </w:r>
      <w:r>
        <w:tab/>
        <w:t>w art. 61 § 3 otrzymuje brzmienie:</w:t>
      </w:r>
    </w:p>
    <w:p w14:paraId="7EFF2298" w14:textId="77777777" w:rsidR="00932645" w:rsidRDefault="00932645" w:rsidP="00932645">
      <w:pPr>
        <w:pStyle w:val="ZARTzmartartykuempunktem"/>
      </w:pPr>
      <w:r>
        <w:t>„§ 3. Za zgodą przedsiębiorcy, wyrażoną na piśmie, organizacja pozarządowa, której jest członkiem, może na jego rzecz wytoczyć powództwo, w jego imieniu złożyć wniosek wszczynający postępowanie nieprocesowe lub przystąpić do toczącego się postępowania związanego z prowadzoną przez niego działalnością gospodarczą.”;</w:t>
      </w:r>
    </w:p>
    <w:p w14:paraId="1CDF1FDA" w14:textId="77777777" w:rsidR="00932645" w:rsidRDefault="00932645" w:rsidP="00932645">
      <w:pPr>
        <w:pStyle w:val="PKTpunkt"/>
      </w:pPr>
      <w:r>
        <w:t>2)</w:t>
      </w:r>
      <w:r>
        <w:tab/>
        <w:t>w art. 62 § 1 otrzymuje brzmienie:</w:t>
      </w:r>
    </w:p>
    <w:p w14:paraId="36D5A0C6" w14:textId="77777777" w:rsidR="00932645" w:rsidRDefault="00932645" w:rsidP="00932645">
      <w:pPr>
        <w:pStyle w:val="ZARTzmartartykuempunktem"/>
      </w:pPr>
      <w:r>
        <w:lastRenderedPageBreak/>
        <w:t>„§ 1. Do organizacji pozarządowych wytaczających powództwa na rzecz osób fizycznych lub przedsiębiorców stosuje się odpowiednio przepisy o prokuratorze wytaczającym powództwo na rzecz oznaczonej osoby, z wyjątkiem art. 58 zdanie drugie.”;</w:t>
      </w:r>
    </w:p>
    <w:p w14:paraId="3C8596B5" w14:textId="77777777" w:rsidR="00932645" w:rsidRDefault="00932645" w:rsidP="00932645">
      <w:pPr>
        <w:pStyle w:val="PKTpunkt"/>
      </w:pPr>
      <w:r>
        <w:t>3)</w:t>
      </w:r>
      <w:r>
        <w:tab/>
        <w:t>art. 531 otrzymuje brzmienie:</w:t>
      </w:r>
    </w:p>
    <w:p w14:paraId="6BF3823B" w14:textId="77777777" w:rsidR="00932645" w:rsidRDefault="00932645" w:rsidP="00932645">
      <w:pPr>
        <w:pStyle w:val="ZARTzmartartykuempunktem"/>
      </w:pPr>
      <w:r>
        <w:t xml:space="preserve"> „Art. 531 § 1. Ogłoszenie o wszczęciu postępowania zamieszcza się w Monitorze Sądowym i Gospodarczym oraz podaje publicznie do wiadomości w miejscu ostatniego zamieszkania zaginionego, w sposób w tym miejscu przyjęty.</w:t>
      </w:r>
    </w:p>
    <w:p w14:paraId="77D80186" w14:textId="77777777" w:rsidR="00932645" w:rsidRDefault="00932645" w:rsidP="00932645">
      <w:pPr>
        <w:pStyle w:val="ZARTzmartartykuempunktem"/>
      </w:pPr>
      <w:r>
        <w:t>§ 2. Sąd może dodatkowo zarządzić podanie ogłoszenia publicznie do wiadomości w inny sposób, jaki uzna za odpowiedni.”;</w:t>
      </w:r>
    </w:p>
    <w:p w14:paraId="34BF67B1" w14:textId="77777777" w:rsidR="00932645" w:rsidRDefault="00932645" w:rsidP="00932645">
      <w:pPr>
        <w:pStyle w:val="PKTpunkt"/>
      </w:pPr>
      <w:bookmarkStart w:id="4" w:name="_Hlk97988200"/>
      <w:r>
        <w:t>4)</w:t>
      </w:r>
      <w:r>
        <w:tab/>
        <w:t>art. 607 otrzymuje brzmienie:</w:t>
      </w:r>
    </w:p>
    <w:p w14:paraId="2DF9CE70" w14:textId="77777777" w:rsidR="00932645" w:rsidRDefault="00932645" w:rsidP="00932645">
      <w:pPr>
        <w:pStyle w:val="ZARTzmartartykuempunktem"/>
      </w:pPr>
      <w:r>
        <w:t xml:space="preserve">„Art. 607. </w:t>
      </w:r>
      <w:r>
        <w:tab/>
        <w:t>Do wniosków dotyczących nieruchomości, dla których prowadzony jest zbiór dokumentów, należy dołączyć zaświadczenie o stanie prawnym, jaki wynika ze zbioru dokumentów.”;</w:t>
      </w:r>
    </w:p>
    <w:p w14:paraId="6371700F" w14:textId="77777777" w:rsidR="00932645" w:rsidRDefault="00932645" w:rsidP="00932645">
      <w:pPr>
        <w:pStyle w:val="PKTpunkt"/>
      </w:pPr>
      <w:r>
        <w:t>5)</w:t>
      </w:r>
      <w:r>
        <w:tab/>
        <w:t>w art. 674:</w:t>
      </w:r>
    </w:p>
    <w:p w14:paraId="11E4D355" w14:textId="77777777" w:rsidR="00932645" w:rsidRDefault="00932645" w:rsidP="00932645">
      <w:pPr>
        <w:pStyle w:val="LITlitera"/>
      </w:pPr>
      <w:r>
        <w:t>a)</w:t>
      </w:r>
      <w:r>
        <w:tab/>
        <w:t xml:space="preserve">§ 1 otrzymuje brzmienie: </w:t>
      </w:r>
    </w:p>
    <w:p w14:paraId="128C1C3A" w14:textId="77777777" w:rsidR="00932645" w:rsidRDefault="00932645" w:rsidP="00932645">
      <w:pPr>
        <w:pStyle w:val="ZARTzmartartykuempunktem"/>
      </w:pPr>
      <w:r>
        <w:t xml:space="preserve"> „§ 1. Ogłoszenie zamieszcza się w Monitorze Sądowym i Gospodarczym oraz podaje publicznie do wiadomości w ostatnim miejscu zwykłego pobytu spadkodawcy, w sposób w tym miejscu przyjęty.”,</w:t>
      </w:r>
    </w:p>
    <w:p w14:paraId="2423A754" w14:textId="77777777" w:rsidR="00932645" w:rsidRDefault="00932645" w:rsidP="00932645">
      <w:pPr>
        <w:pStyle w:val="LITlitera"/>
      </w:pPr>
      <w:r>
        <w:t>b)</w:t>
      </w:r>
      <w:r>
        <w:tab/>
        <w:t xml:space="preserve">uchyla się § 2; </w:t>
      </w:r>
    </w:p>
    <w:bookmarkEnd w:id="4"/>
    <w:p w14:paraId="06D6F538" w14:textId="77777777" w:rsidR="00932645" w:rsidRDefault="00932645" w:rsidP="00932645">
      <w:pPr>
        <w:pStyle w:val="PKTpunkt"/>
      </w:pPr>
      <w:r>
        <w:t>6)</w:t>
      </w:r>
      <w:r>
        <w:tab/>
        <w:t>w art. 693</w:t>
      </w:r>
      <w:r>
        <w:rPr>
          <w:vertAlign w:val="superscript"/>
        </w:rPr>
        <w:t>3</w:t>
      </w:r>
      <w:r>
        <w:t xml:space="preserve"> § 1 otrzymuje brzmienie:</w:t>
      </w:r>
    </w:p>
    <w:p w14:paraId="7F8A258E" w14:textId="745CB2CA" w:rsidR="00932645" w:rsidRDefault="00932645" w:rsidP="00932645">
      <w:pPr>
        <w:pStyle w:val="ZARTzmartartykuempunktem"/>
      </w:pPr>
      <w:r>
        <w:t>„§ 1. Jeżeli wierzyciel lub jego miejsce zamieszkania nie są znane, sąd zarządza zamieszczenie ogłoszenia o zezwoleniu na złożenie przedmiotu świadczenia do depozytu sądowego na tablicy ogłoszeń sądu oraz na jego stronie internetowej, a także na tablicach ogłoszeń i stronach internetowych urzędów obsługujących organy wykonawcze gminy i powiatu ostatniego miejsca zamieszkania albo siedziby tego wierzyciela, o ile jest ono znane. Jeżeli wartość przedmiotu świadczenia składanego do depozytu sądowego przekracza pięć tysi</w:t>
      </w:r>
      <w:r w:rsidR="00912C16">
        <w:t>ę</w:t>
      </w:r>
      <w:r>
        <w:t>cy złotych sąd zarządza zamieszczenie ogłoszenia również w Monitorze Sądowym i Gospodarczym.”;</w:t>
      </w:r>
    </w:p>
    <w:p w14:paraId="71CFABF9" w14:textId="77777777" w:rsidR="00932645" w:rsidRDefault="00932645" w:rsidP="00932645">
      <w:pPr>
        <w:pStyle w:val="PKTpunkt"/>
      </w:pPr>
      <w:r>
        <w:t>7)</w:t>
      </w:r>
      <w:r>
        <w:tab/>
        <w:t>w art. 867 § 1</w:t>
      </w:r>
      <w:r>
        <w:rPr>
          <w:vertAlign w:val="superscript"/>
        </w:rPr>
        <w:t>1</w:t>
      </w:r>
      <w:r>
        <w:t xml:space="preserve"> otrzymuje brzmienie:</w:t>
      </w:r>
    </w:p>
    <w:p w14:paraId="4705652B" w14:textId="77777777" w:rsidR="00932645" w:rsidRDefault="00932645" w:rsidP="00932645">
      <w:pPr>
        <w:pStyle w:val="ZARTzmartartykuempunktem"/>
      </w:pPr>
      <w:r>
        <w:t>„§ 1</w:t>
      </w:r>
      <w:r>
        <w:rPr>
          <w:vertAlign w:val="superscript"/>
        </w:rPr>
        <w:t>1</w:t>
      </w:r>
      <w:r>
        <w:t xml:space="preserve">. Obwieszczenie o licytacji zamieszcza się na tablicy ogłoszeń w budynku sądu rejonowego właściwego dla miejsca licytacji oraz na stronie internetowej Krajowej Rady Komorniczej. Jeżeli wartość ruchomości, objętych jednym obwieszczeniem o licytacji, została oszacowana na kwotę wyższą niż pięć tysięcy złotych, komornik może zamieścić </w:t>
      </w:r>
      <w:r>
        <w:lastRenderedPageBreak/>
        <w:t>obwieszczenie o licytacji także w dzienniku lub czasopiśmie poczytnym w danej miejscowości. Obwieszczenie o licytacji doręcza się stronom i dozorcy zajętych ruchomości.”;</w:t>
      </w:r>
    </w:p>
    <w:p w14:paraId="35070A3F" w14:textId="77777777" w:rsidR="00932645" w:rsidRDefault="00932645" w:rsidP="00932645">
      <w:pPr>
        <w:pStyle w:val="PKTpunkt"/>
      </w:pPr>
      <w:r>
        <w:t>8)</w:t>
      </w:r>
      <w:r>
        <w:tab/>
        <w:t>w art. 955 § 2 i § 3 otrzymują brzmienie:</w:t>
      </w:r>
    </w:p>
    <w:p w14:paraId="6A20F4BE" w14:textId="77777777" w:rsidR="00932645" w:rsidRDefault="00932645" w:rsidP="00932645">
      <w:pPr>
        <w:pStyle w:val="ZARTzmartartykuempunktem"/>
      </w:pPr>
      <w:r>
        <w:t>„§ 2. Na wniosek i koszt strony komornik może zarządzić ogłoszenie również w inny wskazany przez nią sposób, w szczególności w dzienniku lub czasopiśmie poczytnym w danej miejscowości.</w:t>
      </w:r>
    </w:p>
    <w:p w14:paraId="0D59FF68" w14:textId="77777777" w:rsidR="00932645" w:rsidRDefault="00932645" w:rsidP="00932645">
      <w:pPr>
        <w:pStyle w:val="ZARTzmartartykuempunktem"/>
      </w:pPr>
      <w:r>
        <w:t>§ 3. W ogłoszeniu, o którym mowa w § 2, podaje się oznaczenie nieruchomości, czas i miejsce licytacji, sumę oszacowania i cenę wywołania oraz wysokość rękojmi, jaką licytant powinien złożyć.”;</w:t>
      </w:r>
    </w:p>
    <w:p w14:paraId="50A7FF37" w14:textId="77777777" w:rsidR="00932645" w:rsidRDefault="00932645" w:rsidP="00932645">
      <w:pPr>
        <w:pStyle w:val="PKTpunkt"/>
      </w:pPr>
      <w:r>
        <w:t>9)</w:t>
      </w:r>
      <w:r>
        <w:tab/>
        <w:t>art. 1018 otrzymuje brzmienie:</w:t>
      </w:r>
    </w:p>
    <w:p w14:paraId="57F6B0EE" w14:textId="77777777" w:rsidR="00932645" w:rsidRDefault="00932645" w:rsidP="00932645">
      <w:pPr>
        <w:pStyle w:val="ZARTzmartartykuempunktem"/>
      </w:pPr>
      <w:r>
        <w:t>„Art. 1018. Ogłoszenie o wszczęciu egzekucji komornik zamieszcza na tablicy ogłoszeń w budynku sądu oraz na stronie internetowej Krajowej Rady Komorniczej. Komornik może zamieścić ogłoszenie także w dzienniku lub czasopiśmie poczytnym w danej miejscowości.”;</w:t>
      </w:r>
    </w:p>
    <w:p w14:paraId="2DEE6D09" w14:textId="77777777" w:rsidR="00932645" w:rsidRDefault="00932645" w:rsidP="00932645">
      <w:pPr>
        <w:pStyle w:val="PKTpunkt"/>
      </w:pPr>
      <w:r>
        <w:t>10)</w:t>
      </w:r>
      <w:r>
        <w:tab/>
        <w:t>art. 1019 otrzymuje brzmienie:</w:t>
      </w:r>
    </w:p>
    <w:p w14:paraId="2ED9AC31" w14:textId="77777777" w:rsidR="00932645" w:rsidRDefault="00932645" w:rsidP="00932645">
      <w:pPr>
        <w:pStyle w:val="ZARTzmartartykuempunktem"/>
      </w:pPr>
      <w:r>
        <w:t>„Art. 1019. Obwieszczenie o licytacji należy co najmniej dwa tygodnie przed jej terminem ogłosić publicznie na stronie internetowej oraz tablicy ogłoszeń w budynku sądu, a także na stronie internetowej Krajowej Rady Komorniczej, jak również przesłać terenowym organom administracji morskiej właściwym dla portu, w którym statek się znajduje, oraz dla portu macierzystego statku w celu wywieszenia w tych portach. Komornik może zamieścić obwieszczenie o licytacji także w dzienniku lub czasopiśmie poczytnym w danej miejscowości.”;</w:t>
      </w:r>
    </w:p>
    <w:p w14:paraId="6FAF96EF" w14:textId="77777777" w:rsidR="00932645" w:rsidRDefault="00932645" w:rsidP="00932645">
      <w:pPr>
        <w:pStyle w:val="PKTpunkt"/>
      </w:pPr>
      <w:r>
        <w:t>11)</w:t>
      </w:r>
      <w:r>
        <w:tab/>
        <w:t>w art. 1064</w:t>
      </w:r>
      <w:r>
        <w:rPr>
          <w:vertAlign w:val="superscript"/>
        </w:rPr>
        <w:t>15</w:t>
      </w:r>
      <w:r>
        <w:t xml:space="preserve"> § 2 otrzymuje brzmienie:</w:t>
      </w:r>
    </w:p>
    <w:p w14:paraId="3E3E4570" w14:textId="77777777" w:rsidR="00932645" w:rsidRDefault="00932645" w:rsidP="00932645">
      <w:pPr>
        <w:pStyle w:val="ZARTzmartartykuempunktem"/>
      </w:pPr>
      <w:r>
        <w:t>„§ 2. Postanowienie o wszczęciu egzekucji sąd przesyła do sądu właściwego do prowadzenia księgi wieczystej dla nieruchomości wchodzącej w skład przedsiębiorstwa lub gospodarstwa rolnego. Sąd właściwy do prowadzenia księgi wieczystej z urzędu dokonuje wpisu o wszczęciu egzekucji albo składa postanowienie do zbioru dokumentów. W razie wszczęcia egzekucji przeciwko przedsiębiorcy podlegającemu wpisowi do właściwego rejestru, sąd przesyła postanowienie o wszczęciu egzekucji w celu złożenia do akt rejestrowych. Ponadto sąd zarządza zamieszczenie ogłoszenia o wszczęciu egzekucji w Monitorze Sądowym i Gospodarczym oraz na stronie internetowej Krajowej Rady Komorniczej. Sąd może również zarządzić zamieszczenie ogłoszenia w dzienniku lub czasopiśmie poczytnym w siedzibie przedsiębiorstwa lub gospodarstwa rolnego.”;</w:t>
      </w:r>
    </w:p>
    <w:p w14:paraId="75FAA1D7" w14:textId="77777777" w:rsidR="00932645" w:rsidRDefault="00932645" w:rsidP="00932645">
      <w:pPr>
        <w:pStyle w:val="PKTpunkt"/>
      </w:pPr>
      <w:r>
        <w:lastRenderedPageBreak/>
        <w:t>12)</w:t>
      </w:r>
      <w:r>
        <w:tab/>
        <w:t>w art. 1064</w:t>
      </w:r>
      <w:r>
        <w:rPr>
          <w:vertAlign w:val="superscript"/>
        </w:rPr>
        <w:t>18</w:t>
      </w:r>
      <w:r>
        <w:t xml:space="preserve"> w § 2 zdanie trzecie otrzymuje brzmienie:</w:t>
      </w:r>
    </w:p>
    <w:p w14:paraId="2B1FB23D" w14:textId="039953B1" w:rsidR="00932645" w:rsidRDefault="00932645" w:rsidP="00932645">
      <w:pPr>
        <w:pStyle w:val="ZARTzmartartykuempunktem"/>
      </w:pPr>
      <w:r>
        <w:t>„Bieg terminu rozpoczyna się od dnia zamieszczenia ogłoszenia w Monitorze Sądowym i Gospodarczym.”;</w:t>
      </w:r>
    </w:p>
    <w:p w14:paraId="7A058ED2" w14:textId="77777777" w:rsidR="00932645" w:rsidRDefault="00932645" w:rsidP="00932645">
      <w:pPr>
        <w:pStyle w:val="PKTpunkt"/>
      </w:pPr>
      <w:r>
        <w:t>13)</w:t>
      </w:r>
      <w:r>
        <w:tab/>
        <w:t>w art. 1064</w:t>
      </w:r>
      <w:r>
        <w:rPr>
          <w:vertAlign w:val="superscript"/>
        </w:rPr>
        <w:t>19</w:t>
      </w:r>
      <w:r>
        <w:t xml:space="preserve"> § 1 otrzymuje brzmienie:</w:t>
      </w:r>
    </w:p>
    <w:p w14:paraId="42450520" w14:textId="77777777" w:rsidR="00932645" w:rsidRDefault="00932645" w:rsidP="00932645">
      <w:pPr>
        <w:pStyle w:val="ZARTzmartartykuempunktem"/>
      </w:pPr>
      <w:r>
        <w:t>„§ 1. Sąd zarządzi zamieszczenie ogłoszenia postanowienia, o którym mowa w art. 1064</w:t>
      </w:r>
      <w:r>
        <w:rPr>
          <w:vertAlign w:val="superscript"/>
        </w:rPr>
        <w:t xml:space="preserve">16 </w:t>
      </w:r>
      <w:r>
        <w:t>§ 1, w Monitorze Sądowym i Gospodarczym oraz na stronie internetowej Krajowej Rady Komorniczej. Sąd może również zarządzić zamieszczenie tego ogłoszenia w dzienniku lub czasopiśmie poczytnym w siedzibie przedsiębiorstwa lub gospodarstwa rolnego.”.</w:t>
      </w:r>
    </w:p>
    <w:p w14:paraId="3F50F70E" w14:textId="4809279F" w:rsidR="001D65E8" w:rsidRPr="001D65E8" w:rsidRDefault="001D65E8" w:rsidP="001D65E8">
      <w:pPr>
        <w:pStyle w:val="ZARTzmartartykuempunktem"/>
        <w:ind w:left="0"/>
      </w:pPr>
      <w:r w:rsidRPr="00395989">
        <w:rPr>
          <w:b/>
          <w:bCs/>
        </w:rPr>
        <w:t>Art. 3.</w:t>
      </w:r>
      <w:r w:rsidRPr="00395989">
        <w:t xml:space="preserve"> W ustawie z dnia 20 maja 1971 r. – Kodeks wykroczeń (Dz. U. z 2021 r. poz. </w:t>
      </w:r>
      <w:r w:rsidR="004C3318" w:rsidRPr="00395989">
        <w:t>2008, 2052, 2269 i 2328 oraz z 2022 r. poz. 1726 i 1768) uchyla się art. 64.</w:t>
      </w:r>
    </w:p>
    <w:p w14:paraId="52D4748A" w14:textId="7D22E102" w:rsidR="00A87BE3" w:rsidRDefault="00932645" w:rsidP="0093264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C75C8A">
        <w:rPr>
          <w:rStyle w:val="Ppogrubienie"/>
        </w:rPr>
        <w:t>4</w:t>
      </w:r>
      <w:r>
        <w:rPr>
          <w:rStyle w:val="Ppogrubienie"/>
        </w:rPr>
        <w:t>.</w:t>
      </w:r>
      <w:r>
        <w:t xml:space="preserve"> W ustawie z dnia 26 października 1982 r. o wychowaniu w trzeźwości i przeciwdziałaniu alkoholizmowi (Dz. U. z 2021 r. poz. 1119 i 2469 oraz z 2022 r. poz. 24</w:t>
      </w:r>
      <w:r w:rsidR="00214B44">
        <w:t>,</w:t>
      </w:r>
      <w:r>
        <w:t xml:space="preserve"> 218</w:t>
      </w:r>
      <w:r w:rsidR="00214B44">
        <w:t xml:space="preserve"> i 1700</w:t>
      </w:r>
      <w:r>
        <w:t xml:space="preserve">) </w:t>
      </w:r>
      <w:r w:rsidR="00A87BE3">
        <w:t>wprowadza się następujące zmiany:</w:t>
      </w:r>
    </w:p>
    <w:p w14:paraId="4D4A6A9E" w14:textId="1BBED5AB" w:rsidR="00A87BE3" w:rsidRPr="001E4350" w:rsidRDefault="00A87BE3">
      <w:pPr>
        <w:pStyle w:val="ARTartustawynprozporzdzenia"/>
        <w:numPr>
          <w:ilvl w:val="0"/>
          <w:numId w:val="30"/>
        </w:numPr>
        <w:spacing w:before="0"/>
      </w:pPr>
      <w:r w:rsidRPr="001E4350">
        <w:t>w art. 9</w:t>
      </w:r>
      <w:r w:rsidRPr="001E4350">
        <w:rPr>
          <w:vertAlign w:val="superscript"/>
        </w:rPr>
        <w:t>1</w:t>
      </w:r>
      <w:r w:rsidRPr="001E4350">
        <w:t xml:space="preserve"> po ust. 6 dodaje się ust. 6a w brzmieniu:</w:t>
      </w:r>
    </w:p>
    <w:p w14:paraId="0B1DA3BA" w14:textId="0F42A751" w:rsidR="00A87BE3" w:rsidRDefault="00A87BE3" w:rsidP="00A87BE3">
      <w:pPr>
        <w:pStyle w:val="ZUSTzmustartykuempunktem"/>
      </w:pPr>
      <w:r w:rsidRPr="001E4350">
        <w:t xml:space="preserve">„6a. </w:t>
      </w:r>
      <w:bookmarkStart w:id="5" w:name="_Hlk114656001"/>
      <w:r w:rsidRPr="001E4350">
        <w:t>Do uzyskania zezwolenia na obrót hurtowy napojami alkoholowymi nie jest obowiązany przedsiębiorca, którego zezwolenie wygasło z przyczyn wymienionych w art. 18 ust. 12 pkt 1-4</w:t>
      </w:r>
      <w:r w:rsidR="007C4CCE" w:rsidRPr="001E4350">
        <w:t xml:space="preserve"> albo</w:t>
      </w:r>
      <w:r w:rsidR="00C81738" w:rsidRPr="001E4350">
        <w:t xml:space="preserve"> w związku z okolicznościami, o których mowa w art. 491 § 1-3</w:t>
      </w:r>
      <w:r w:rsidR="007C4CCE" w:rsidRPr="001E4350">
        <w:t>, art. 528 § 1 albo art. 551 § 1, 2 i 5</w:t>
      </w:r>
      <w:r w:rsidR="008C49E3" w:rsidRPr="001E4350">
        <w:t xml:space="preserve"> </w:t>
      </w:r>
      <w:bookmarkStart w:id="6" w:name="_Hlk114656321"/>
      <w:r w:rsidR="008C49E3" w:rsidRPr="001E4350">
        <w:t xml:space="preserve">ustawy z dnia </w:t>
      </w:r>
      <w:r w:rsidR="009D7ECF" w:rsidRPr="001E4350">
        <w:t>15 września 2000 r. – Kodeks spółek handlowych (Dz. U. z 2022 r. poz. 1467)</w:t>
      </w:r>
      <w:bookmarkEnd w:id="6"/>
      <w:r w:rsidRPr="001E4350">
        <w:t>, i który posiadając zezwolenie, o którym mowa w art. 18</w:t>
      </w:r>
      <w:r w:rsidRPr="001E4350">
        <w:rPr>
          <w:vertAlign w:val="superscript"/>
        </w:rPr>
        <w:t>4</w:t>
      </w:r>
      <w:r w:rsidRPr="001E4350">
        <w:t xml:space="preserve"> ust. 1, jednorazowo zbywa zinwentaryzowane zapasy napojów alkoholowych.”;</w:t>
      </w:r>
      <w:bookmarkEnd w:id="5"/>
    </w:p>
    <w:p w14:paraId="622F79BE" w14:textId="2637FF50" w:rsidR="00932645" w:rsidRDefault="00932645">
      <w:pPr>
        <w:pStyle w:val="ARTartustawynprozporzdzenia"/>
        <w:numPr>
          <w:ilvl w:val="0"/>
          <w:numId w:val="30"/>
        </w:numPr>
        <w:spacing w:before="0"/>
      </w:pPr>
      <w:r>
        <w:t>w art. 14 w ust. 1 w pkt 4 w lit. d średnik zastępuje się przecinkiem i dodaje się lit. e w brzmieniu:</w:t>
      </w:r>
    </w:p>
    <w:p w14:paraId="525E6682" w14:textId="2EE13EB3" w:rsidR="00932645" w:rsidRDefault="00932645" w:rsidP="00932645">
      <w:pPr>
        <w:pStyle w:val="ZUSTzmustartykuempunktem"/>
      </w:pPr>
      <w:r>
        <w:t xml:space="preserve">„e) </w:t>
      </w:r>
      <w:bookmarkStart w:id="7" w:name="_Hlk98268204"/>
      <w:r>
        <w:t>lokali gastronomicznych na dworcach kolejowych i autobusowych, w których dopuszcza się sprzedaż, podawanie i spożywanie napojów alkoholowych o zawartości do 4,5% alkoholu oraz piwa</w:t>
      </w:r>
      <w:bookmarkEnd w:id="7"/>
      <w:r>
        <w:t>;”</w:t>
      </w:r>
      <w:r w:rsidR="007C4CCE">
        <w:t>.</w:t>
      </w:r>
    </w:p>
    <w:p w14:paraId="3AEBACAE" w14:textId="0536456C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>Art. 5.</w:t>
      </w:r>
      <w:r>
        <w:t xml:space="preserve"> W ustawie z dnia 28 lipca 1983 r. o podatku od spadków i darowizn (Dz. U. z 2021 r. poz. 1043) w art. 9 ust. 1 otrzymuje brzmienie:</w:t>
      </w:r>
    </w:p>
    <w:p w14:paraId="7E4C539E" w14:textId="77777777" w:rsidR="00932645" w:rsidRDefault="00932645" w:rsidP="00932645">
      <w:pPr>
        <w:pStyle w:val="ZUSTzmustartykuempunktem"/>
      </w:pPr>
      <w:r>
        <w:t>„1. Opodatkowaniu podlega nabycie przez nabywcę, od jednej osoby, własności rzeczy i praw majątkowych o czystej wartości przekraczającej:</w:t>
      </w:r>
    </w:p>
    <w:p w14:paraId="5130CE62" w14:textId="77777777" w:rsidR="00932645" w:rsidRDefault="00932645" w:rsidP="00932645">
      <w:pPr>
        <w:pStyle w:val="ZUSTzmustartykuempunktem"/>
      </w:pPr>
      <w:r>
        <w:t>1) 36120 zł - jeżeli nabywcą jest osoba zaliczona do I grupy podatkowej;</w:t>
      </w:r>
    </w:p>
    <w:p w14:paraId="586A545A" w14:textId="77777777" w:rsidR="00932645" w:rsidRDefault="00932645" w:rsidP="00932645">
      <w:pPr>
        <w:pStyle w:val="ZUSTzmustartykuempunktem"/>
      </w:pPr>
      <w:r>
        <w:t>2) 27090 zł - jeżeli nabywcą jest osoba zaliczona do II grupy podatkowej;</w:t>
      </w:r>
    </w:p>
    <w:p w14:paraId="0232D6DE" w14:textId="317C69AE" w:rsidR="00932645" w:rsidRDefault="00932645" w:rsidP="00932645">
      <w:pPr>
        <w:pStyle w:val="ZUSTzmustartykuempunktem"/>
      </w:pPr>
      <w:r>
        <w:t>3) 18060 zł - jeżeli nabywcą jest osoba zaliczona do III grupy podatkowej.”.</w:t>
      </w:r>
    </w:p>
    <w:p w14:paraId="5CA8DEBD" w14:textId="592FFA80" w:rsidR="00BC6465" w:rsidRPr="00DA15AB" w:rsidRDefault="00D82DA2" w:rsidP="00D82DA2">
      <w:pPr>
        <w:pStyle w:val="ARTartustawynprozporzdzenia"/>
        <w:spacing w:before="0"/>
      </w:pPr>
      <w:r w:rsidRPr="00DA15AB">
        <w:rPr>
          <w:rStyle w:val="Ppogrubienie"/>
        </w:rPr>
        <w:lastRenderedPageBreak/>
        <w:t xml:space="preserve">Art. </w:t>
      </w:r>
      <w:r w:rsidR="00830514" w:rsidRPr="00DA15AB">
        <w:rPr>
          <w:rStyle w:val="Ppogrubienie"/>
        </w:rPr>
        <w:t>6</w:t>
      </w:r>
      <w:r w:rsidRPr="00DA15AB">
        <w:rPr>
          <w:rStyle w:val="Ppogrubienie"/>
        </w:rPr>
        <w:t>.</w:t>
      </w:r>
      <w:r w:rsidRPr="00DA15AB">
        <w:t xml:space="preserve"> W </w:t>
      </w:r>
      <w:bookmarkStart w:id="8" w:name="_Hlk114657129"/>
      <w:r w:rsidRPr="00DA15AB">
        <w:t xml:space="preserve">ustawie z dnia 17 maja 1989 r. – Prawo geodezyjne i kartograficzne </w:t>
      </w:r>
      <w:bookmarkEnd w:id="8"/>
      <w:r w:rsidRPr="00DA15AB">
        <w:t xml:space="preserve">(Dz. U. z 2021 r. poz. 1990 oraz z 2022 r. poz. 1846) </w:t>
      </w:r>
      <w:r w:rsidR="00BC6465" w:rsidRPr="00DA15AB">
        <w:t>wprowadza się następujące zmiany:</w:t>
      </w:r>
    </w:p>
    <w:p w14:paraId="3EEC7211" w14:textId="221163CE" w:rsidR="00B66345" w:rsidRPr="00DA15AB" w:rsidRDefault="00B66345">
      <w:pPr>
        <w:pStyle w:val="PKTpunkt"/>
        <w:numPr>
          <w:ilvl w:val="0"/>
          <w:numId w:val="28"/>
        </w:numPr>
      </w:pPr>
      <w:r w:rsidRPr="00DA15AB">
        <w:t>art. 46w otrzymuje brzmienie:</w:t>
      </w:r>
    </w:p>
    <w:p w14:paraId="102E886A" w14:textId="5FB66ADD" w:rsidR="00B66345" w:rsidRPr="00DA15AB" w:rsidRDefault="00B66345" w:rsidP="00B66345">
      <w:pPr>
        <w:pStyle w:val="ZARTzmartartykuempunktem"/>
      </w:pPr>
      <w:r w:rsidRPr="00DA15AB">
        <w:t>„Art. 46w. Do postępowań przed komisjami dyscyplinarnymi w sprawach odpowiedzialności dyscyplinarnej, w zakresie nieuregulowanym w ustawie stosuje się odpowiednio przepisy ustawy z dnia 6 czerwca 1997 r. - Kodeks postępowania karnego (Dz.U. z 2022 r. poz. 1375); nie stosuje się przepisów o oskarżycielu prywatnym, przedstawicielu społecznym, o postępowaniu przygotowawczym oraz środkach przymusu, z wyjątkiem przepisów o karze pieniężnej.”;</w:t>
      </w:r>
    </w:p>
    <w:p w14:paraId="47D40E14" w14:textId="211F0AC2" w:rsidR="00D82DA2" w:rsidRPr="00DA15AB" w:rsidRDefault="00D82DA2">
      <w:pPr>
        <w:pStyle w:val="PKTpunkt"/>
        <w:numPr>
          <w:ilvl w:val="0"/>
          <w:numId w:val="28"/>
        </w:numPr>
      </w:pPr>
      <w:r w:rsidRPr="00DA15AB">
        <w:t>w art. 47b:</w:t>
      </w:r>
    </w:p>
    <w:p w14:paraId="5278A51E" w14:textId="40C73CC1" w:rsidR="00BE7545" w:rsidRPr="00DA15AB" w:rsidRDefault="00BC6465" w:rsidP="00BC6465">
      <w:pPr>
        <w:pStyle w:val="LITlitera"/>
        <w:ind w:left="836"/>
      </w:pPr>
      <w:r w:rsidRPr="00DA15AB">
        <w:t>a</w:t>
      </w:r>
      <w:r w:rsidR="00D82DA2" w:rsidRPr="00DA15AB">
        <w:t xml:space="preserve">) </w:t>
      </w:r>
      <w:r w:rsidR="00BE7545" w:rsidRPr="00DA15AB">
        <w:t>ust. 1 otrzymuje brzmienie:</w:t>
      </w:r>
    </w:p>
    <w:p w14:paraId="402BD320" w14:textId="7A9CB0C5" w:rsidR="00BE7545" w:rsidRPr="00DA15AB" w:rsidRDefault="00BE7545" w:rsidP="00BE7545">
      <w:pPr>
        <w:pStyle w:val="ZARTzmartartykuempunktem"/>
      </w:pPr>
      <w:r w:rsidRPr="00DA15AB">
        <w:t>„1. Właściciele nieruchomości zabudowanych lub inne podmioty uwidocznione w ewidencji gruntów i budynków, które takimi nieruchomościami władają, mają obowiązek umieszczenia w widocznym miejscu – na ścianie frontowej budynku</w:t>
      </w:r>
      <w:r w:rsidR="00BC6465" w:rsidRPr="00DA15AB">
        <w:t xml:space="preserve"> albo</w:t>
      </w:r>
      <w:r w:rsidRPr="00DA15AB">
        <w:t xml:space="preserve"> </w:t>
      </w:r>
      <w:r w:rsidR="00BC6465" w:rsidRPr="00DA15AB">
        <w:t xml:space="preserve">na ogrodzeniu </w:t>
      </w:r>
      <w:r w:rsidRPr="00DA15AB">
        <w:t>tabliczki z numerem porządkowym w terminie 30 dni od dnia otrzymania zawiadomienia o ustaleniu tego numeru.</w:t>
      </w:r>
      <w:r w:rsidR="00BC6465" w:rsidRPr="00DA15AB">
        <w:t>”,</w:t>
      </w:r>
    </w:p>
    <w:p w14:paraId="13A1A89B" w14:textId="0B766225" w:rsidR="00D82DA2" w:rsidRPr="00DA15AB" w:rsidRDefault="00BC6465" w:rsidP="00BC6465">
      <w:pPr>
        <w:pStyle w:val="LITlitera"/>
        <w:ind w:left="836"/>
      </w:pPr>
      <w:r w:rsidRPr="00DA15AB">
        <w:t xml:space="preserve">b) </w:t>
      </w:r>
      <w:r w:rsidR="00D82DA2" w:rsidRPr="00DA15AB">
        <w:t>uchyla się ust. 2</w:t>
      </w:r>
      <w:r w:rsidRPr="00DA15AB">
        <w:t>,</w:t>
      </w:r>
    </w:p>
    <w:p w14:paraId="6E668EF3" w14:textId="1AD2FD6C" w:rsidR="00D82DA2" w:rsidRPr="00DA15AB" w:rsidRDefault="00BC6465" w:rsidP="00BC6465">
      <w:pPr>
        <w:pStyle w:val="LITlitera"/>
        <w:ind w:left="836"/>
      </w:pPr>
      <w:r w:rsidRPr="00DA15AB">
        <w:t>c</w:t>
      </w:r>
      <w:r w:rsidR="00D82DA2" w:rsidRPr="00DA15AB">
        <w:t xml:space="preserve">) ust. 3 otrzymuje brzmienie: </w:t>
      </w:r>
    </w:p>
    <w:p w14:paraId="54E52986" w14:textId="6F6EA2DC" w:rsidR="00D82DA2" w:rsidRPr="00DA15AB" w:rsidRDefault="00D82DA2" w:rsidP="00D82DA2">
      <w:pPr>
        <w:pStyle w:val="ZARTzmartartykuempunktem"/>
      </w:pPr>
      <w:r w:rsidRPr="00DA15AB">
        <w:t xml:space="preserve">„3. </w:t>
      </w:r>
      <w:r w:rsidR="00BC6465" w:rsidRPr="00DA15AB">
        <w:t>Rada gminy</w:t>
      </w:r>
      <w:r w:rsidRPr="00DA15AB">
        <w:t>, w drodze uchwały, mo</w:t>
      </w:r>
      <w:r w:rsidR="00BC6465" w:rsidRPr="00DA15AB">
        <w:t>że</w:t>
      </w:r>
      <w:r w:rsidRPr="00DA15AB">
        <w:t xml:space="preserve"> wprowadzić obowiązek umieszczania na tabliczce, o której mowa w ust. 1, nazwy miejscowości lub nazwy dzielnicy, osiedla, zespołu urbanistycznego, a także nazwy ulicy lub placu.”</w:t>
      </w:r>
      <w:r w:rsidR="00BC6465" w:rsidRPr="00DA15AB">
        <w:t>,</w:t>
      </w:r>
    </w:p>
    <w:p w14:paraId="1BCDB32F" w14:textId="47A7415A" w:rsidR="00D82DA2" w:rsidRPr="00DA15AB" w:rsidRDefault="00BC6465" w:rsidP="00BC6465">
      <w:pPr>
        <w:pStyle w:val="LITlitera"/>
        <w:ind w:left="836"/>
      </w:pPr>
      <w:r w:rsidRPr="00DA15AB">
        <w:t>d</w:t>
      </w:r>
      <w:r w:rsidR="00D82DA2" w:rsidRPr="00DA15AB">
        <w:t xml:space="preserve">) </w:t>
      </w:r>
      <w:r w:rsidRPr="00DA15AB">
        <w:t>uchyla się ust. 4;</w:t>
      </w:r>
    </w:p>
    <w:p w14:paraId="34FFD642" w14:textId="77777777" w:rsidR="00EE1C90" w:rsidRPr="00DA15AB" w:rsidRDefault="00EE1C90">
      <w:pPr>
        <w:pStyle w:val="PKTpunkt"/>
        <w:numPr>
          <w:ilvl w:val="0"/>
          <w:numId w:val="28"/>
        </w:numPr>
      </w:pPr>
      <w:r w:rsidRPr="00DA15AB">
        <w:t>w art. 48:</w:t>
      </w:r>
    </w:p>
    <w:p w14:paraId="7682EA51" w14:textId="53931910" w:rsidR="00BC6465" w:rsidRPr="00DA15AB" w:rsidRDefault="00EE1C90">
      <w:pPr>
        <w:pStyle w:val="LITlitera"/>
        <w:numPr>
          <w:ilvl w:val="0"/>
          <w:numId w:val="29"/>
        </w:numPr>
      </w:pPr>
      <w:r w:rsidRPr="00DA15AB">
        <w:t>po ust. 1 dodaje się ust. 1a w brzmieniu:</w:t>
      </w:r>
    </w:p>
    <w:p w14:paraId="54E6995D" w14:textId="23D59531" w:rsidR="00EE1C90" w:rsidRPr="00DA15AB" w:rsidRDefault="00EE1C90" w:rsidP="00EE1C90">
      <w:pPr>
        <w:pStyle w:val="ZARTzmartartykuempunktem"/>
      </w:pPr>
      <w:r w:rsidRPr="00DA15AB">
        <w:t>„1a. Kto wbrew przepisom art. 47b ust. 1, będąc obowiązany do umieszczenia tabliczki porządkowej, nie umieści jej w widocznym miejscu – na ścianie frontowej budynku albo na ogrodzeniu tabliczki z numerem porządkowym w terminie 30 dni od dnia otrzymania zawiadomienia o ustaleniu tego numeru podlega karze grzywny do 250 złotych albo karze nagany.”</w:t>
      </w:r>
      <w:r w:rsidR="004C10B5" w:rsidRPr="00DA15AB">
        <w:t>;</w:t>
      </w:r>
    </w:p>
    <w:p w14:paraId="6863C993" w14:textId="77777777" w:rsidR="004C10B5" w:rsidRPr="00DA15AB" w:rsidRDefault="004C10B5">
      <w:pPr>
        <w:pStyle w:val="LITlitera"/>
        <w:numPr>
          <w:ilvl w:val="0"/>
          <w:numId w:val="29"/>
        </w:numPr>
      </w:pPr>
      <w:r w:rsidRPr="00DA15AB">
        <w:t>po ust. 1 dodaje się ust. 1a w brzmieniu:</w:t>
      </w:r>
    </w:p>
    <w:p w14:paraId="36DD438E" w14:textId="310A384B" w:rsidR="00EE1C90" w:rsidRPr="00DA15AB" w:rsidRDefault="004C10B5" w:rsidP="004C10B5">
      <w:pPr>
        <w:pStyle w:val="ZARTzmartartykuempunktem"/>
      </w:pPr>
      <w:r w:rsidRPr="00DA15AB">
        <w:t>„2. W wypadkach określonych w ust. 1 i 1a orzekanie następuje na podstawie przepisów o postępowaniu w sprawach o wykroczenia.”.</w:t>
      </w:r>
    </w:p>
    <w:p w14:paraId="7C01AD55" w14:textId="62C1F828" w:rsidR="00932645" w:rsidRDefault="00932645" w:rsidP="00BC646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A91F7F">
        <w:rPr>
          <w:rStyle w:val="Ppogrubienie"/>
        </w:rPr>
        <w:t>7</w:t>
      </w:r>
      <w:r>
        <w:rPr>
          <w:rStyle w:val="Ppogrubienie"/>
        </w:rPr>
        <w:t>.</w:t>
      </w:r>
      <w:r>
        <w:t xml:space="preserve"> W ustawie </w:t>
      </w:r>
      <w:bookmarkStart w:id="9" w:name="_Hlk98261434"/>
      <w:r>
        <w:t xml:space="preserve">z dnia 28 września 1991 r. o lasach </w:t>
      </w:r>
      <w:bookmarkEnd w:id="9"/>
      <w:r>
        <w:t>(Dz. U. z 2022 r. poz. 672</w:t>
      </w:r>
      <w:r w:rsidR="00DA15AB">
        <w:t xml:space="preserve"> i 1726</w:t>
      </w:r>
      <w:r>
        <w:t>) w art. 37a w ust. 4 w pkt 3 kropkę zastępuje się przecinkiem i dodaje się pkt 4 w brzmieniu:</w:t>
      </w:r>
    </w:p>
    <w:p w14:paraId="67639C00" w14:textId="77777777" w:rsidR="00932645" w:rsidRDefault="00932645" w:rsidP="00932645">
      <w:pPr>
        <w:pStyle w:val="ZARTzmartartykuempunktem"/>
      </w:pPr>
      <w:r>
        <w:lastRenderedPageBreak/>
        <w:t xml:space="preserve">„4) w przypadku gruntu </w:t>
      </w:r>
      <w:bookmarkStart w:id="10" w:name="_Hlk98267791"/>
      <w:r>
        <w:t>położonego w całości w granicach administracyjnych miasta lub gruntu, którego powierzchnia nie przekracza 1 ha</w:t>
      </w:r>
      <w:bookmarkEnd w:id="10"/>
      <w:r>
        <w:t>.”.</w:t>
      </w:r>
    </w:p>
    <w:p w14:paraId="287F940C" w14:textId="051C2A88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A91F7F">
        <w:rPr>
          <w:rStyle w:val="Ppogrubienie"/>
        </w:rPr>
        <w:t>8</w:t>
      </w:r>
      <w:r>
        <w:rPr>
          <w:rStyle w:val="Ppogrubienie"/>
        </w:rPr>
        <w:t>.</w:t>
      </w:r>
      <w:r>
        <w:t xml:space="preserve"> W ustawie </w:t>
      </w:r>
      <w:bookmarkStart w:id="11" w:name="_Hlk98261542"/>
      <w:r>
        <w:t xml:space="preserve">z dnia 7 października 1992 r. o regionalnych izbach obrachunkowych </w:t>
      </w:r>
      <w:bookmarkEnd w:id="11"/>
      <w:r>
        <w:t xml:space="preserve">(Dz. U. z </w:t>
      </w:r>
      <w:r w:rsidR="00DA15AB">
        <w:t>2022 poz. 1668</w:t>
      </w:r>
      <w:r>
        <w:t>) wprowadza się następujące zmiany:</w:t>
      </w:r>
    </w:p>
    <w:p w14:paraId="415F5478" w14:textId="77777777" w:rsidR="00932645" w:rsidRDefault="00932645" w:rsidP="00932645">
      <w:pPr>
        <w:pStyle w:val="PKTpunkt"/>
      </w:pPr>
      <w:r>
        <w:t>1)</w:t>
      </w:r>
      <w:r>
        <w:tab/>
        <w:t>uchyla się art. 13 pkt 4;</w:t>
      </w:r>
    </w:p>
    <w:p w14:paraId="01385DB5" w14:textId="77777777" w:rsidR="00932645" w:rsidRDefault="00932645" w:rsidP="00932645">
      <w:pPr>
        <w:pStyle w:val="PKTpunkt"/>
      </w:pPr>
      <w:r>
        <w:t>2)</w:t>
      </w:r>
      <w:r>
        <w:tab/>
        <w:t>w art. 20 ust. 2 otrzymuje brzmienie:</w:t>
      </w:r>
    </w:p>
    <w:p w14:paraId="6A6FA19F" w14:textId="77777777" w:rsidR="00932645" w:rsidRDefault="00932645" w:rsidP="00932645">
      <w:pPr>
        <w:pStyle w:val="ZUSTzmustartykuempunktem"/>
      </w:pPr>
      <w:r>
        <w:t>„2. Odwołanie od opinii wydanej przez skład orzekający w sprawach określonych w art. 13 pkt 3 i 5 rozpatrywane jest przez kolegium izby, nie później niż w terminie 14 dni od daty jego wniesienia.”.</w:t>
      </w:r>
    </w:p>
    <w:p w14:paraId="2FAA9766" w14:textId="0155C448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A91F7F">
        <w:rPr>
          <w:rStyle w:val="Ppogrubienie"/>
        </w:rPr>
        <w:t>9</w:t>
      </w:r>
      <w:r>
        <w:rPr>
          <w:rStyle w:val="Ppogrubienie"/>
        </w:rPr>
        <w:t>.</w:t>
      </w:r>
      <w:r>
        <w:t xml:space="preserve"> W ustawie z dnia 13 października 1995 r. – Prawo łowieckie (Dz. U. z </w:t>
      </w:r>
      <w:r w:rsidR="00DA15AB">
        <w:t>2022 poz. 1173</w:t>
      </w:r>
      <w:r>
        <w:t xml:space="preserve">) wprowadza się następujące zmiany: </w:t>
      </w:r>
    </w:p>
    <w:p w14:paraId="3E7F010B" w14:textId="77777777" w:rsidR="00932645" w:rsidRDefault="00932645">
      <w:pPr>
        <w:pStyle w:val="PKTpunkt"/>
        <w:numPr>
          <w:ilvl w:val="0"/>
          <w:numId w:val="9"/>
        </w:numPr>
      </w:pPr>
      <w:r>
        <w:t>w art. 42aa pkt 15 otrzymuje brzmienie:</w:t>
      </w:r>
    </w:p>
    <w:p w14:paraId="2957C66F" w14:textId="77777777" w:rsidR="00932645" w:rsidRDefault="00932645" w:rsidP="00932645">
      <w:pPr>
        <w:pStyle w:val="ZARTzmartartykuempunktem"/>
      </w:pPr>
      <w:r>
        <w:t xml:space="preserve">„15) </w:t>
      </w:r>
      <w:r w:rsidRPr="00D920AD">
        <w:t>wykonywania polowania w obecności lub przy udziale dzieci do 18. roku życia</w:t>
      </w:r>
      <w:r>
        <w:t xml:space="preserve"> bez zgody rodziców bądź opiekunów prawnych”;</w:t>
      </w:r>
    </w:p>
    <w:p w14:paraId="27645616" w14:textId="77777777" w:rsidR="00932645" w:rsidRDefault="00932645">
      <w:pPr>
        <w:pStyle w:val="PKTpunkt"/>
        <w:numPr>
          <w:ilvl w:val="0"/>
          <w:numId w:val="9"/>
        </w:numPr>
      </w:pPr>
      <w:r>
        <w:t>w art. 52 pkt 7 otrzymuje brzmienie:</w:t>
      </w:r>
    </w:p>
    <w:p w14:paraId="4F474197" w14:textId="77777777" w:rsidR="00932645" w:rsidRDefault="00932645" w:rsidP="00932645">
      <w:pPr>
        <w:pStyle w:val="ZARTzmartartykuempunktem"/>
      </w:pPr>
      <w:r w:rsidRPr="001F2F0F">
        <w:t>„7) wykonuje polowanie w obecności lub przy udziale dziecka do 18. roku życia bez</w:t>
      </w:r>
      <w:r>
        <w:t xml:space="preserve"> zgody rodziców bądź opiekunów prawnych”.</w:t>
      </w:r>
    </w:p>
    <w:p w14:paraId="3BC33DAD" w14:textId="4795D477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A91F7F">
        <w:rPr>
          <w:rStyle w:val="Ppogrubienie"/>
        </w:rPr>
        <w:t>10</w:t>
      </w:r>
      <w:r>
        <w:rPr>
          <w:rStyle w:val="Ppogrubienie"/>
        </w:rPr>
        <w:t>.</w:t>
      </w:r>
      <w:r>
        <w:t xml:space="preserve"> W ustawie z dnia 22 grudnia 1995 r. o wydawaniu Monitora Sądowego i Gospodarczego (Dz. U. z 2018 r. poz. 1795) wprowadza się następujące zmiany:</w:t>
      </w:r>
    </w:p>
    <w:p w14:paraId="3E744FB8" w14:textId="04D5B40D" w:rsidR="004A4130" w:rsidRDefault="004A4130">
      <w:pPr>
        <w:pStyle w:val="PKTpunkt"/>
        <w:numPr>
          <w:ilvl w:val="0"/>
          <w:numId w:val="26"/>
        </w:numPr>
      </w:pPr>
      <w:r>
        <w:t>w art. 1 po ust. 3a dodaje się ust. 3b w brzmieniu:</w:t>
      </w:r>
    </w:p>
    <w:p w14:paraId="6B7D3246" w14:textId="78156B14" w:rsidR="00FB1A72" w:rsidRDefault="00FB1A72" w:rsidP="00FB1A72">
      <w:pPr>
        <w:pStyle w:val="ZARTzmartartykuempunktem"/>
        <w:ind w:left="870" w:firstLine="0"/>
      </w:pPr>
      <w:r>
        <w:t>„3b. O</w:t>
      </w:r>
      <w:r w:rsidRPr="00FB1A72">
        <w:t>płat</w:t>
      </w:r>
      <w:r>
        <w:t>a</w:t>
      </w:r>
      <w:r w:rsidRPr="00FB1A72">
        <w:t xml:space="preserve"> za zamieszczenie w Monitorze Sądowym i Gospodarczym ogłoszenia lub obwieszczenia</w:t>
      </w:r>
      <w:r>
        <w:t xml:space="preserve"> nie może być wyższa niż </w:t>
      </w:r>
      <w:r w:rsidRPr="00FB1A72">
        <w:t>20% minimalnego wynagrodzenia za pracę ustalonego na podstawie przepisów ustawy z dnia 10 października 2002 r. o minimalnym wynagrodzeniu za pracę (Dz. U. z 2020 r. poz. 2207)</w:t>
      </w:r>
      <w:r>
        <w:t>”</w:t>
      </w:r>
      <w:r w:rsidR="004A4130">
        <w:t>;</w:t>
      </w:r>
    </w:p>
    <w:p w14:paraId="1FE722AA" w14:textId="77777777" w:rsidR="00AC627C" w:rsidRDefault="00AC627C" w:rsidP="007C0957">
      <w:pPr>
        <w:pStyle w:val="PKTpunkt"/>
      </w:pPr>
      <w:r>
        <w:t>2)</w:t>
      </w:r>
      <w:r>
        <w:tab/>
        <w:t>w art. 4 ust. 2 otrzymuje brzmienie:</w:t>
      </w:r>
    </w:p>
    <w:p w14:paraId="012984C4" w14:textId="77777777" w:rsidR="00AC627C" w:rsidRDefault="00AC627C" w:rsidP="007C0957">
      <w:pPr>
        <w:pStyle w:val="ZARTzmartartykuempunktem"/>
      </w:pPr>
      <w:r>
        <w:t>„2. Prezesi sądów rejonowych oraz organy wykonawcze jednostek samorządu terytorialnego zapewniają nieodpłatnie możliwość przeglądania Monitora Sądowego i Gospodarczego.”.</w:t>
      </w:r>
    </w:p>
    <w:p w14:paraId="394CE720" w14:textId="00AFD2B7" w:rsidR="00B31533" w:rsidRDefault="00B31533" w:rsidP="00B31533">
      <w:pPr>
        <w:pStyle w:val="ARTartustawynprozporzdzenia"/>
        <w:spacing w:before="0"/>
        <w:rPr>
          <w:rStyle w:val="Ppogrubienie"/>
          <w:b w:val="0"/>
          <w:bCs/>
        </w:rPr>
      </w:pPr>
      <w:r w:rsidRPr="00EE11CA">
        <w:rPr>
          <w:rStyle w:val="Ppogrubienie"/>
        </w:rPr>
        <w:t>Art. 1</w:t>
      </w:r>
      <w:r w:rsidR="00A91F7F">
        <w:rPr>
          <w:rStyle w:val="Ppogrubienie"/>
        </w:rPr>
        <w:t>1</w:t>
      </w:r>
      <w:r w:rsidRPr="00EE11CA">
        <w:rPr>
          <w:rStyle w:val="Ppogrubienie"/>
        </w:rPr>
        <w:t>.</w:t>
      </w:r>
      <w:r w:rsidRPr="0059655D">
        <w:rPr>
          <w:rStyle w:val="Ppogrubienie"/>
        </w:rPr>
        <w:t xml:space="preserve"> </w:t>
      </w:r>
      <w:r w:rsidRPr="0059655D">
        <w:rPr>
          <w:rStyle w:val="Ppogrubienie"/>
          <w:b w:val="0"/>
          <w:bCs/>
        </w:rPr>
        <w:t xml:space="preserve">W ustawie z dnia </w:t>
      </w:r>
      <w:r>
        <w:rPr>
          <w:rStyle w:val="Ppogrubienie"/>
          <w:b w:val="0"/>
          <w:bCs/>
        </w:rPr>
        <w:t>10 kwietnia 1997</w:t>
      </w:r>
      <w:r w:rsidRPr="0059655D">
        <w:rPr>
          <w:rStyle w:val="Ppogrubienie"/>
          <w:b w:val="0"/>
          <w:bCs/>
        </w:rPr>
        <w:t xml:space="preserve"> r. </w:t>
      </w:r>
      <w:r>
        <w:rPr>
          <w:rStyle w:val="Ppogrubienie"/>
          <w:b w:val="0"/>
          <w:bCs/>
        </w:rPr>
        <w:t>– Prawo energetyczne</w:t>
      </w:r>
      <w:r w:rsidRPr="0059655D">
        <w:rPr>
          <w:rStyle w:val="Ppogrubienie"/>
          <w:b w:val="0"/>
          <w:bCs/>
        </w:rPr>
        <w:t xml:space="preserve"> (Dz. U. z 202</w:t>
      </w:r>
      <w:r w:rsidR="00A91F7F">
        <w:rPr>
          <w:rStyle w:val="Ppogrubienie"/>
          <w:b w:val="0"/>
          <w:bCs/>
        </w:rPr>
        <w:t>2</w:t>
      </w:r>
      <w:r w:rsidRPr="0059655D">
        <w:rPr>
          <w:rStyle w:val="Ppogrubienie"/>
          <w:b w:val="0"/>
          <w:bCs/>
        </w:rPr>
        <w:t xml:space="preserve"> r. poz.</w:t>
      </w:r>
      <w:r w:rsidR="00A91F7F">
        <w:rPr>
          <w:rStyle w:val="Ppogrubienie"/>
          <w:b w:val="0"/>
          <w:bCs/>
        </w:rPr>
        <w:t xml:space="preserve"> 1385 i 1723</w:t>
      </w:r>
      <w:r w:rsidRPr="0059655D">
        <w:rPr>
          <w:rStyle w:val="Ppogrubienie"/>
          <w:b w:val="0"/>
          <w:bCs/>
        </w:rPr>
        <w:t>)</w:t>
      </w:r>
      <w:r>
        <w:rPr>
          <w:rStyle w:val="Ppogrubienie"/>
          <w:b w:val="0"/>
          <w:bCs/>
        </w:rPr>
        <w:t xml:space="preserve"> w art. 7:</w:t>
      </w:r>
    </w:p>
    <w:p w14:paraId="564B8693" w14:textId="77777777" w:rsidR="00B31533" w:rsidRDefault="00B31533">
      <w:pPr>
        <w:pStyle w:val="ARTartustawynprozporzdzenia"/>
        <w:numPr>
          <w:ilvl w:val="0"/>
          <w:numId w:val="27"/>
        </w:numPr>
        <w:spacing w:before="0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w ust. 2 dodaje się zdanie drugie w brzmieniu:</w:t>
      </w:r>
    </w:p>
    <w:p w14:paraId="2A7687FA" w14:textId="77777777" w:rsidR="00B31533" w:rsidRDefault="00B31533" w:rsidP="00B31533">
      <w:pPr>
        <w:pStyle w:val="ARTartustawynprozporzdzenia"/>
        <w:spacing w:before="0"/>
        <w:ind w:left="870" w:firstLine="0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„Umowa może zawierać opłatę skalkulowaną zgodnie z ust. 9b.”;</w:t>
      </w:r>
    </w:p>
    <w:p w14:paraId="204B3BBE" w14:textId="77777777" w:rsidR="00B31533" w:rsidRPr="0059655D" w:rsidRDefault="00B31533" w:rsidP="00B31533">
      <w:pPr>
        <w:pStyle w:val="ARTartustawynprozporzdzenia"/>
        <w:spacing w:before="0"/>
        <w:rPr>
          <w:rStyle w:val="Ppogrubienie"/>
          <w:b w:val="0"/>
          <w:bCs/>
        </w:rPr>
      </w:pPr>
      <w:r>
        <w:rPr>
          <w:rStyle w:val="Ppogrubienie"/>
          <w:b w:val="0"/>
          <w:bCs/>
        </w:rPr>
        <w:t>2)</w:t>
      </w:r>
      <w:r w:rsidRPr="0059655D">
        <w:rPr>
          <w:rStyle w:val="Ppogrubienie"/>
          <w:b w:val="0"/>
          <w:bCs/>
        </w:rPr>
        <w:t xml:space="preserve"> </w:t>
      </w:r>
      <w:r>
        <w:rPr>
          <w:rStyle w:val="Ppogrubienie"/>
          <w:b w:val="0"/>
          <w:bCs/>
        </w:rPr>
        <w:t>po ust. 9 dodaje się ust. 9a-9d w brzmieniu</w:t>
      </w:r>
      <w:r w:rsidRPr="0059655D">
        <w:rPr>
          <w:rStyle w:val="Ppogrubienie"/>
          <w:b w:val="0"/>
          <w:bCs/>
        </w:rPr>
        <w:t>:</w:t>
      </w:r>
    </w:p>
    <w:p w14:paraId="013FAB2A" w14:textId="77777777" w:rsidR="00B31533" w:rsidRDefault="00B31533" w:rsidP="00B31533">
      <w:pPr>
        <w:pStyle w:val="ARTartustawynprozporzdzenia"/>
        <w:spacing w:before="0"/>
        <w:ind w:left="873"/>
      </w:pPr>
      <w:r>
        <w:lastRenderedPageBreak/>
        <w:t>„9a. Odmowa przyłączenia do sieci gazowej z powodu braku warunków ekonomicznych, o których mowa w ust. 1, może być również uzasadniona brakiem środków finansowych na realizację odcinków sieci służących do przyłączenia w terminie wskazanym przez podmiot ubiegający się o przyłączenie do sieci. Nie dotyczy to sytuacji, w którym nakłady na realizację odcinków sieci służących do przyłączenia, w terminie wskazanym przez podmiot ubiegający się o przyłączenie do sieci, zostały uwzględnione w planie rozwoju, o którym mowa w art. 16 ust. 1, uzgodnionym z Prezesem Urzędu Regulacji Energetyki.</w:t>
      </w:r>
    </w:p>
    <w:p w14:paraId="02961426" w14:textId="048713C9" w:rsidR="00B31533" w:rsidRDefault="00B31533" w:rsidP="00B31533">
      <w:pPr>
        <w:pStyle w:val="ARTartustawynprozporzdzenia"/>
        <w:spacing w:before="0"/>
        <w:ind w:left="873"/>
      </w:pPr>
      <w:r>
        <w:t>9b. W przypadku odmowy przyłączenia do sieci z powodu braku warunków ekonomicznych, o których mowa w ust. 1, uzasadnionych brakiem środków finansowych, o których mowa w ust. 9a, przedsiębiorstwo energetyczne, o którym mowa w ust. 1, wraz z odmową informuje podmiot ubiegający się o przyłączenie do sieci o możliwości przyłączenia w zamian za wniesienie opłaty uwzględniającej rzeczywiste nakłady na realizację odcinków sieci służących do przyłączenia, wskazując przewidywaną wysokość takiej opłaty skalkulowaną w oparciu o szacunkowe nakłady. Przepisów ust. 5 oraz ust. 8 pkt 1 i 2 oraz pkt 3 lit. a nie stosuje się.</w:t>
      </w:r>
    </w:p>
    <w:p w14:paraId="528F9786" w14:textId="77777777" w:rsidR="00B31533" w:rsidRDefault="00B31533" w:rsidP="00B31533">
      <w:pPr>
        <w:pStyle w:val="ARTartustawynprozporzdzenia"/>
        <w:spacing w:before="0"/>
        <w:ind w:left="873" w:firstLine="0"/>
      </w:pPr>
      <w:r>
        <w:tab/>
        <w:t>9c. Na wniosek podmiotu ubiegającego się o przyłączenie do sieci przedsiębiorstwo energetyczne, o którym mowa w ust. 1, zawiera z tym podmiotem umowę o przyłączenie do sieci z opłatą skalkulowaną zgodnie z ust. 9b, przy czym ostateczna wysokość opłaty za przyłączenie ustalana jest na podstawie rzeczywistych, udokumentowanych nakładów poniesionych przez przedsiębiorstwo energetyczne, o którym mowa w ust. 1, na wykonanie odcinków sieci służących do przyłączenia. Na żądanie podmiotu ubiegającego się o przyłączenie do sieci przedsiębiorstwo energetyczne, o którym mowa w ust. 1, zobowiązane jest do udokumentowania wysokości poniesionych nakładów.</w:t>
      </w:r>
    </w:p>
    <w:p w14:paraId="69B4CAFA" w14:textId="77777777" w:rsidR="00B31533" w:rsidRPr="007C0957" w:rsidRDefault="00B31533" w:rsidP="00B31533">
      <w:pPr>
        <w:pStyle w:val="ARTartustawynprozporzdzenia"/>
        <w:spacing w:before="0"/>
        <w:ind w:left="873" w:firstLine="543"/>
      </w:pPr>
      <w:r>
        <w:t>9d. Jeżeli rzeczywiste, udokumentowane nakłady, o których mowa w ust. 9c, będą wyższe niż opłata skalkulowana zgodnie z ust. 9b i wniesiona przez podmiot ubiegający się o przyłączenie do sieci, podmiot ten obowiązany jest pokryć je w pełnej wysokości. Jeżeli rzeczywiste, udokumentowane nakłady, o których mowa w ust. 9c, będą niższe niż opłata skalkulowana zgodnie z ust. 9b i wniesiona przez podmiot ubiegający się o przyłączenie do sieci, różnicę zwraca się temu podmiotowi.”.</w:t>
      </w:r>
    </w:p>
    <w:p w14:paraId="07D47A8B" w14:textId="74B69F31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>Art. 1</w:t>
      </w:r>
      <w:r w:rsidR="00A91F7F">
        <w:rPr>
          <w:rStyle w:val="Ppogrubienie"/>
        </w:rPr>
        <w:t>2</w:t>
      </w:r>
      <w:r>
        <w:rPr>
          <w:rStyle w:val="Ppogrubienie"/>
        </w:rPr>
        <w:t>.</w:t>
      </w:r>
      <w:r>
        <w:t xml:space="preserve"> W ustawie z dnia 21 maja 1999 r. o broni i amunicji (Dz. U. z 2020 r. poz. 955 oraz z 2022 r. poz. 275) wprowadza się następujące zmiany: </w:t>
      </w:r>
    </w:p>
    <w:p w14:paraId="7D6DCB48" w14:textId="77777777" w:rsidR="00932645" w:rsidRDefault="00932645">
      <w:pPr>
        <w:pStyle w:val="PKTpunkt"/>
        <w:numPr>
          <w:ilvl w:val="0"/>
          <w:numId w:val="11"/>
        </w:numPr>
      </w:pPr>
      <w:r>
        <w:lastRenderedPageBreak/>
        <w:t>w art. 10:</w:t>
      </w:r>
    </w:p>
    <w:p w14:paraId="781C9079" w14:textId="77777777" w:rsidR="00932645" w:rsidRDefault="00932645" w:rsidP="00932645">
      <w:pPr>
        <w:pStyle w:val="LITlitera"/>
        <w:ind w:left="708" w:firstLine="0"/>
      </w:pPr>
      <w:r>
        <w:t>a)</w:t>
      </w:r>
      <w:r>
        <w:tab/>
        <w:t>ust. 1 otrzymuje brzmienie:</w:t>
      </w:r>
    </w:p>
    <w:p w14:paraId="7ADF73F4" w14:textId="77777777" w:rsidR="00932645" w:rsidRDefault="00932645" w:rsidP="00932645">
      <w:pPr>
        <w:pStyle w:val="ZLITUSTzmustliter"/>
        <w:ind w:left="1416" w:firstLine="0"/>
      </w:pPr>
      <w:r>
        <w:t>„1</w:t>
      </w:r>
      <w:r w:rsidRPr="00951368">
        <w:t>. Właściwy organ Policji, w terminie 14 dni od dnia złożenia wniosku, wydaje pozwolenie na broń, jeżeli wnioskodawca nie stanowi zagrożenia dla samego siebie, porządku lub bezpieczeństwa publicznego oraz przedstawi ważną przyczynę posiadania broni</w:t>
      </w:r>
      <w:r>
        <w:t>.”,</w:t>
      </w:r>
    </w:p>
    <w:p w14:paraId="69705D89" w14:textId="77777777" w:rsidR="00932645" w:rsidRDefault="00932645" w:rsidP="00932645">
      <w:pPr>
        <w:pStyle w:val="LITlitera"/>
        <w:ind w:left="876" w:firstLine="0"/>
      </w:pPr>
      <w:r>
        <w:t>b)</w:t>
      </w:r>
      <w:r>
        <w:tab/>
        <w:t xml:space="preserve">po ust. 1 dodaje się ust. 1a w brzmieniu: </w:t>
      </w:r>
    </w:p>
    <w:p w14:paraId="16C14164" w14:textId="77777777" w:rsidR="00932645" w:rsidRDefault="00932645" w:rsidP="00932645">
      <w:pPr>
        <w:pStyle w:val="LITlitera"/>
        <w:ind w:left="1416" w:firstLine="0"/>
      </w:pPr>
      <w:r>
        <w:t xml:space="preserve">„1a. Wymóg istnienia i </w:t>
      </w:r>
      <w:r w:rsidRPr="00431750">
        <w:t>przedstawi</w:t>
      </w:r>
      <w:r>
        <w:t>enia</w:t>
      </w:r>
      <w:r w:rsidRPr="00431750">
        <w:t xml:space="preserve"> ważnej przyczyny posiadania broni</w:t>
      </w:r>
      <w:r>
        <w:t xml:space="preserve"> nie dotyczy</w:t>
      </w:r>
      <w:r w:rsidRPr="00431750">
        <w:t xml:space="preserve"> </w:t>
      </w:r>
      <w:r>
        <w:t>f</w:t>
      </w:r>
      <w:r w:rsidRPr="00BE6CC6">
        <w:t>unkcjonariusz</w:t>
      </w:r>
      <w:r>
        <w:t>y</w:t>
      </w:r>
      <w:r w:rsidRPr="00BE6CC6">
        <w:t xml:space="preserve"> Policji, Agencji Bezpieczeństwa Wewnętrznego, Agencji Wywiadu, Służby Kontrwywiadu Wojskowego, Służby Wywiadu Wojskowego, Centralnego Biura Antykorupcyjnego, Służby Ochrony Państwa, Straży Granicznej, Straży Marszałkowskiej, Służby Celno-Skarbowej, Służby Więziennej</w:t>
      </w:r>
      <w:r>
        <w:t xml:space="preserve">, </w:t>
      </w:r>
      <w:r w:rsidRPr="00BE6CC6">
        <w:t>funkcjonariuszy innych państwowych formacji uzbrojonych</w:t>
      </w:r>
      <w:r>
        <w:t xml:space="preserve"> oraz</w:t>
      </w:r>
      <w:r w:rsidRPr="00BE6CC6">
        <w:t xml:space="preserve"> żołnierz</w:t>
      </w:r>
      <w:r>
        <w:t>y</w:t>
      </w:r>
      <w:r w:rsidRPr="00BE6CC6">
        <w:t xml:space="preserve"> zawodow</w:t>
      </w:r>
      <w:r>
        <w:t>ych</w:t>
      </w:r>
      <w:r w:rsidRPr="00BE6CC6">
        <w:t xml:space="preserve"> Sił Zbrojnych Rzeczypospolitej Polskiej,</w:t>
      </w:r>
      <w:r>
        <w:t xml:space="preserve"> </w:t>
      </w:r>
      <w:r w:rsidRPr="00BE6CC6">
        <w:t>jeżeli na podstawie odrębnych przepisów posiadają przydzieloną im broń służbową</w:t>
      </w:r>
      <w:r>
        <w:t>, a także sędziów, prokuratorów oraz osób pełniących terytorialną służbę wojskową co najmniej rok.”;</w:t>
      </w:r>
    </w:p>
    <w:p w14:paraId="0EF64D08" w14:textId="77777777" w:rsidR="00932645" w:rsidRDefault="00932645">
      <w:pPr>
        <w:pStyle w:val="PKTpunkt"/>
        <w:numPr>
          <w:ilvl w:val="0"/>
          <w:numId w:val="11"/>
        </w:numPr>
      </w:pPr>
      <w:r>
        <w:t>w art. 10b po ust. 2 dodaje się ust. 2a w brzmieniu:</w:t>
      </w:r>
    </w:p>
    <w:p w14:paraId="19F5EC1F" w14:textId="77777777" w:rsidR="00932645" w:rsidRDefault="00932645" w:rsidP="00932645">
      <w:pPr>
        <w:pStyle w:val="PKTpunkt"/>
        <w:ind w:left="708" w:firstLine="0"/>
      </w:pPr>
      <w:r>
        <w:tab/>
        <w:t>„2a. Polski związek sportowy nie może warunkować dopuszczenia do egzaminu, o którym mowa w ust. 2, dłuższym niż 1-miesięcznym członkostwem osoby wnioskującej o dopuszczenie do egzaminu w klubie posiadającym licencję tego związku.”;</w:t>
      </w:r>
    </w:p>
    <w:p w14:paraId="0A702E4B" w14:textId="77777777" w:rsidR="00932645" w:rsidRDefault="00932645">
      <w:pPr>
        <w:pStyle w:val="PKTpunkt"/>
        <w:numPr>
          <w:ilvl w:val="0"/>
          <w:numId w:val="11"/>
        </w:numPr>
      </w:pPr>
      <w:r>
        <w:t>w art. 15h:</w:t>
      </w:r>
    </w:p>
    <w:p w14:paraId="0CAC9C3C" w14:textId="77777777" w:rsidR="00932645" w:rsidRDefault="00932645" w:rsidP="00932645">
      <w:pPr>
        <w:pStyle w:val="LITlitera"/>
        <w:ind w:left="876" w:firstLine="0"/>
      </w:pPr>
      <w:r>
        <w:t>a)</w:t>
      </w:r>
      <w:r>
        <w:tab/>
        <w:t>ust. 1 otrzymuje brzmienie:</w:t>
      </w:r>
    </w:p>
    <w:p w14:paraId="54F26AFC" w14:textId="77777777" w:rsidR="00932645" w:rsidRDefault="00932645" w:rsidP="00932645">
      <w:pPr>
        <w:pStyle w:val="LITlitera"/>
        <w:ind w:left="1416" w:firstLine="0"/>
      </w:pPr>
      <w:r>
        <w:t>„1. Od orzeczenia lekarskiego lub psychologicznego przysługuje odwołanie.”,</w:t>
      </w:r>
    </w:p>
    <w:p w14:paraId="72FF206F" w14:textId="77777777" w:rsidR="00932645" w:rsidRDefault="00932645" w:rsidP="00932645">
      <w:pPr>
        <w:pStyle w:val="LITlitera"/>
        <w:ind w:left="876" w:firstLine="0"/>
      </w:pPr>
      <w:r>
        <w:t>b)</w:t>
      </w:r>
      <w:r>
        <w:tab/>
        <w:t>ust. 3 otrzymuje brzmienie:</w:t>
      </w:r>
    </w:p>
    <w:p w14:paraId="408C28D4" w14:textId="77777777" w:rsidR="00932645" w:rsidRDefault="00932645" w:rsidP="00932645">
      <w:pPr>
        <w:pStyle w:val="LITlitera"/>
        <w:ind w:left="1416" w:firstLine="0"/>
      </w:pPr>
      <w:r>
        <w:t>„3. Odwołanie wnosi się na piśmie w terminie 30 dni od dnia doręczenia orzeczenia, za pośrednictwem lekarza albo psychologa, który wydał orzeczenie, do innego wybranego lekarza upoważnionego albo psychologa upoważnionego. Odwołanie powinno zawierać uzasadnienie.”,</w:t>
      </w:r>
    </w:p>
    <w:p w14:paraId="5C071312" w14:textId="77777777" w:rsidR="00932645" w:rsidRDefault="00932645" w:rsidP="00932645">
      <w:pPr>
        <w:pStyle w:val="LITlitera"/>
        <w:ind w:left="876" w:firstLine="0"/>
      </w:pPr>
      <w:r>
        <w:t>c)</w:t>
      </w:r>
      <w:r>
        <w:tab/>
        <w:t>ust. 4 otrzymuje brzmienie:</w:t>
      </w:r>
    </w:p>
    <w:p w14:paraId="16739360" w14:textId="77777777" w:rsidR="00932645" w:rsidRDefault="00932645" w:rsidP="00932645">
      <w:pPr>
        <w:pStyle w:val="LITlitera"/>
        <w:ind w:left="1416" w:firstLine="0"/>
      </w:pPr>
      <w:r>
        <w:t xml:space="preserve">„4. </w:t>
      </w:r>
      <w:r w:rsidRPr="00966275">
        <w:t xml:space="preserve">Lekarz </w:t>
      </w:r>
      <w:r>
        <w:t>albo</w:t>
      </w:r>
      <w:r w:rsidRPr="00966275">
        <w:t xml:space="preserve"> psycholog, za pośrednictwem którego jest wnoszone odwołanie, przekazuje je wraz z dokumentacją badań do </w:t>
      </w:r>
      <w:r>
        <w:t xml:space="preserve">wybranego przez odwołującego się </w:t>
      </w:r>
      <w:r>
        <w:lastRenderedPageBreak/>
        <w:t xml:space="preserve">lekarza upoważnionego albo psychologa upoważnionego </w:t>
      </w:r>
      <w:r w:rsidRPr="00966275">
        <w:t xml:space="preserve">w terminie </w:t>
      </w:r>
      <w:r>
        <w:t>3</w:t>
      </w:r>
      <w:r w:rsidRPr="00966275">
        <w:t xml:space="preserve"> dni od dnia otrzymania odwołania.</w:t>
      </w:r>
      <w:r>
        <w:t>”;</w:t>
      </w:r>
    </w:p>
    <w:p w14:paraId="6AE98AB0" w14:textId="77777777" w:rsidR="00932645" w:rsidRDefault="00932645">
      <w:pPr>
        <w:pStyle w:val="PKTpunkt"/>
        <w:numPr>
          <w:ilvl w:val="0"/>
          <w:numId w:val="11"/>
        </w:numPr>
      </w:pPr>
      <w:r>
        <w:t>w art. 16 ust. 3 otrzymuje brzmienie:</w:t>
      </w:r>
    </w:p>
    <w:p w14:paraId="1C7A605A" w14:textId="7D3DA7A0" w:rsidR="00932645" w:rsidRDefault="00932645" w:rsidP="00932645">
      <w:pPr>
        <w:pStyle w:val="PKTpunkt"/>
        <w:ind w:left="876"/>
      </w:pPr>
      <w:r>
        <w:tab/>
        <w:t xml:space="preserve">„3. Minister właściwy do spraw wewnętrznych określi, w drodze rozporządzenia, tryb przeprowadzania i zakres przedmiotowy egzaminu, skład komisji egzaminacyjnej oraz stawkę odpłatności za egzamin. Egzamin musi składać się z części teoretycznej, dotyczącej znajomości przepisów w zakresie zgodnego z prawem posiadania i używania danej broni, oraz z części praktycznej, dotyczącej umiejętności posługiwania się tą bronią. Komisja egzaminacyjna musi składać się z co najmniej trzech członków, z których przynajmniej jeden </w:t>
      </w:r>
      <w:r w:rsidR="0089335E">
        <w:t>musi</w:t>
      </w:r>
      <w:r>
        <w:t xml:space="preserve"> posiadać uprawnienia instruktora strzelań policyjnych lub instruktora wyszkolenie strzeleckiego. Stawka odpłatności za egzamin n</w:t>
      </w:r>
      <w:r w:rsidRPr="00FC79A1">
        <w:t>ie mo</w:t>
      </w:r>
      <w:r>
        <w:t>że</w:t>
      </w:r>
      <w:r w:rsidRPr="00FC79A1">
        <w:t xml:space="preserve"> być </w:t>
      </w:r>
      <w:r>
        <w:t>wyższa</w:t>
      </w:r>
      <w:r w:rsidRPr="00FC79A1">
        <w:t xml:space="preserve"> </w:t>
      </w:r>
      <w:r>
        <w:t>niż 20%</w:t>
      </w:r>
      <w:r w:rsidRPr="00FC79A1">
        <w:t xml:space="preserve"> minimalnego wynagrodzenia za pracę</w:t>
      </w:r>
      <w:r>
        <w:t xml:space="preserve"> </w:t>
      </w:r>
      <w:r w:rsidRPr="00FC79A1">
        <w:t>ustalon</w:t>
      </w:r>
      <w:r>
        <w:t>ego</w:t>
      </w:r>
      <w:r w:rsidRPr="00FC79A1">
        <w:t xml:space="preserve"> na podstawie przepisów ustawy z dnia 10 października 2002 r. o minimalnym wynagrodzeniu za pracę (Dz.</w:t>
      </w:r>
      <w:r>
        <w:t xml:space="preserve"> </w:t>
      </w:r>
      <w:r w:rsidRPr="00FC79A1">
        <w:t>U. z 2020 r. poz. 2207)</w:t>
      </w:r>
      <w:r>
        <w:t>.”;</w:t>
      </w:r>
    </w:p>
    <w:p w14:paraId="1DCF0B14" w14:textId="77777777" w:rsidR="00932645" w:rsidRDefault="00932645">
      <w:pPr>
        <w:pStyle w:val="PKTpunkt"/>
        <w:numPr>
          <w:ilvl w:val="0"/>
          <w:numId w:val="11"/>
        </w:numPr>
      </w:pPr>
      <w:r>
        <w:t xml:space="preserve">w art. 47 </w:t>
      </w:r>
      <w:r w:rsidRPr="00425818">
        <w:t>dotychczasową treść oznacza się jako ust. 1 i dodaje się ust. 2</w:t>
      </w:r>
      <w:r>
        <w:t xml:space="preserve"> </w:t>
      </w:r>
      <w:r w:rsidRPr="00425818">
        <w:t>w brzmieniu</w:t>
      </w:r>
      <w:r>
        <w:t>:</w:t>
      </w:r>
    </w:p>
    <w:p w14:paraId="2AE8C274" w14:textId="19555317" w:rsidR="00932645" w:rsidRDefault="00932645" w:rsidP="00932645">
      <w:pPr>
        <w:pStyle w:val="PKTpunkt"/>
        <w:ind w:left="870"/>
      </w:pPr>
      <w:r>
        <w:tab/>
        <w:t>„2. Do postępowania w sprawie zatwierdzenia regulaminu strzelnicy stosuje się przepisy działu II rozdziału 14 ustawy z dnia 14 czerwca 1960 r. – Kodeks postępowania administracyjnego.”.</w:t>
      </w:r>
    </w:p>
    <w:p w14:paraId="7973D75B" w14:textId="1D05FE88" w:rsidR="008C7C1E" w:rsidRPr="007C74F8" w:rsidRDefault="008C7C1E" w:rsidP="008C7C1E">
      <w:pPr>
        <w:pStyle w:val="ARTartustawynprozporzdzenia"/>
        <w:spacing w:before="0"/>
      </w:pPr>
      <w:r w:rsidRPr="007C74F8">
        <w:rPr>
          <w:rStyle w:val="Ppogrubienie"/>
        </w:rPr>
        <w:t xml:space="preserve">Art. </w:t>
      </w:r>
      <w:r w:rsidR="00A91F7F" w:rsidRPr="007C74F8">
        <w:rPr>
          <w:rStyle w:val="Ppogrubienie"/>
        </w:rPr>
        <w:t>1</w:t>
      </w:r>
      <w:r w:rsidRPr="007C74F8">
        <w:rPr>
          <w:rStyle w:val="Ppogrubienie"/>
        </w:rPr>
        <w:t>3.</w:t>
      </w:r>
      <w:r w:rsidRPr="007C74F8">
        <w:t xml:space="preserve"> W ustawie z dnia 30 sierpnia 2002 r. – Prawo o postępowaniu przed sądami administracyjnymi (Dz. U. z 2022 r. poz. 329</w:t>
      </w:r>
      <w:r w:rsidR="00A91F7F" w:rsidRPr="007C74F8">
        <w:t>,</w:t>
      </w:r>
      <w:r w:rsidRPr="007C74F8">
        <w:t xml:space="preserve"> 655</w:t>
      </w:r>
      <w:r w:rsidR="00A91F7F" w:rsidRPr="007C74F8">
        <w:t xml:space="preserve"> i 1457</w:t>
      </w:r>
      <w:r w:rsidRPr="007C74F8">
        <w:t>) w art. 54 po § 2 dodaje się § 2a w brzmieniu:</w:t>
      </w:r>
    </w:p>
    <w:p w14:paraId="6C19BBA3" w14:textId="77777777" w:rsidR="008C7C1E" w:rsidRPr="007C74F8" w:rsidRDefault="008C7C1E" w:rsidP="008C7C1E">
      <w:pPr>
        <w:pStyle w:val="ZARTzmartartykuempunktem"/>
      </w:pPr>
      <w:r w:rsidRPr="007C74F8">
        <w:t>„§ 2a. W terminie określonym w § 2, przed przekazaniem akt sądowi, organ sporządza uzasadnienie zaskarżonej decyzji, jeżeli odstąpił od jej uzasadnienia z powodu uwzględnienia w całości żądania strony.”.</w:t>
      </w:r>
    </w:p>
    <w:p w14:paraId="15D72763" w14:textId="0A1231AF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>Art. 1</w:t>
      </w:r>
      <w:r w:rsidR="007C74F8">
        <w:rPr>
          <w:rStyle w:val="Ppogrubienie"/>
        </w:rPr>
        <w:t>4</w:t>
      </w:r>
      <w:r>
        <w:rPr>
          <w:rStyle w:val="Ppogrubienie"/>
        </w:rPr>
        <w:t>.</w:t>
      </w:r>
      <w:r>
        <w:t xml:space="preserve"> W ustawie </w:t>
      </w:r>
      <w:bookmarkStart w:id="12" w:name="_Hlk114660688"/>
      <w:r>
        <w:t xml:space="preserve">z dnia 16 kwietnia 2004 r. </w:t>
      </w:r>
      <w:bookmarkEnd w:id="12"/>
      <w:r>
        <w:t>o ochronie przyrody (Dz. U. z 202</w:t>
      </w:r>
      <w:r w:rsidR="005A2C5A">
        <w:t>2</w:t>
      </w:r>
      <w:r>
        <w:t xml:space="preserve"> r. poz. </w:t>
      </w:r>
      <w:r w:rsidR="005A2C5A">
        <w:t>916</w:t>
      </w:r>
      <w:r w:rsidR="00BA13BF">
        <w:t xml:space="preserve"> i 1726</w:t>
      </w:r>
      <w:r>
        <w:t>) w art. 83f:</w:t>
      </w:r>
    </w:p>
    <w:p w14:paraId="7A0ED136" w14:textId="77777777" w:rsidR="00932645" w:rsidRDefault="00932645">
      <w:pPr>
        <w:pStyle w:val="PKTpunkt"/>
        <w:numPr>
          <w:ilvl w:val="0"/>
          <w:numId w:val="10"/>
        </w:numPr>
      </w:pPr>
      <w:r>
        <w:t xml:space="preserve"> ust. 4 otrzymuje brzmienie: </w:t>
      </w:r>
    </w:p>
    <w:p w14:paraId="257CF310" w14:textId="77777777" w:rsidR="00932645" w:rsidRDefault="00932645" w:rsidP="00932645">
      <w:pPr>
        <w:pStyle w:val="ZLITUSTzmustliter"/>
        <w:ind w:left="708"/>
      </w:pPr>
      <w:r>
        <w:t>„4</w:t>
      </w:r>
      <w:r w:rsidRPr="00951368">
        <w:t xml:space="preserve">. </w:t>
      </w:r>
      <w:r>
        <w:t>W przypadku, o którym mowa w ust. 1 pkt 3a, właściciel nieruchomości jest obowiązany dokonać zgłoszenia do organu, o którym mowa w art. 83a ust. 1, zamiaru usunięcia drzewa, jeżeli obwód pnia drzewa mierzonego na wysokości 5 cm przekracza:</w:t>
      </w:r>
    </w:p>
    <w:p w14:paraId="45857CC3" w14:textId="77777777" w:rsidR="00932645" w:rsidRDefault="00932645" w:rsidP="00932645">
      <w:pPr>
        <w:pStyle w:val="ZLITUSTzmustliter"/>
        <w:ind w:left="708"/>
      </w:pPr>
      <w:r>
        <w:t>1) 100 cm - w przypadku topoli, wierzb, klonu jesionolistnego oraz klonu srebrzystego;</w:t>
      </w:r>
    </w:p>
    <w:p w14:paraId="2D10176A" w14:textId="77777777" w:rsidR="00932645" w:rsidRDefault="00932645" w:rsidP="00932645">
      <w:pPr>
        <w:pStyle w:val="ZLITUSTzmustliter"/>
        <w:ind w:left="708"/>
      </w:pPr>
      <w:r>
        <w:t>2) 85 cm - w przypadku kasztanowca zwyczajnego, robinii akacjowej oraz platanu klonolistnego;</w:t>
      </w:r>
    </w:p>
    <w:p w14:paraId="5D5EF76D" w14:textId="77777777" w:rsidR="00932645" w:rsidRDefault="00932645" w:rsidP="00932645">
      <w:pPr>
        <w:pStyle w:val="ZLITUSTzmustliter"/>
        <w:ind w:left="1218" w:firstLine="0"/>
      </w:pPr>
      <w:r>
        <w:lastRenderedPageBreak/>
        <w:t>3) 70 cm - w przypadku pozostałych gatunków drzew.”;</w:t>
      </w:r>
    </w:p>
    <w:p w14:paraId="1F46FA19" w14:textId="77777777" w:rsidR="00932645" w:rsidRDefault="00932645">
      <w:pPr>
        <w:pStyle w:val="PKTpunkt"/>
        <w:numPr>
          <w:ilvl w:val="0"/>
          <w:numId w:val="10"/>
        </w:numPr>
      </w:pPr>
      <w:r>
        <w:t xml:space="preserve">w ust. 6 we wprowadzeniu do wyliczenia wyrazy „21 dni” zastępuje się wyrazami „14 dni”; </w:t>
      </w:r>
    </w:p>
    <w:p w14:paraId="00F56156" w14:textId="77777777" w:rsidR="00932645" w:rsidRDefault="00932645">
      <w:pPr>
        <w:pStyle w:val="PKTpunkt"/>
        <w:numPr>
          <w:ilvl w:val="0"/>
          <w:numId w:val="10"/>
        </w:numPr>
      </w:pPr>
      <w:r>
        <w:t xml:space="preserve">w ust. 8 wyrazy „14 dni” zastępuje się wyrazami „7 dni”; </w:t>
      </w:r>
    </w:p>
    <w:p w14:paraId="60A3C1F5" w14:textId="77777777" w:rsidR="00932645" w:rsidRDefault="00932645">
      <w:pPr>
        <w:pStyle w:val="PKTpunkt"/>
        <w:numPr>
          <w:ilvl w:val="0"/>
          <w:numId w:val="10"/>
        </w:numPr>
      </w:pPr>
      <w:r>
        <w:t xml:space="preserve">po ust. 8 dodaje się ust. 8a w brzmieniu: </w:t>
      </w:r>
    </w:p>
    <w:p w14:paraId="0554CA2C" w14:textId="53D872CD" w:rsidR="00932645" w:rsidRDefault="00932645" w:rsidP="00932645">
      <w:pPr>
        <w:pStyle w:val="ZLITUSTzmustliter"/>
        <w:ind w:left="708" w:firstLine="0"/>
      </w:pPr>
      <w:r>
        <w:t xml:space="preserve">„8a. Odwołanie od decyzji, o której mowa w ust. 8, organ </w:t>
      </w:r>
      <w:r w:rsidR="005A2C5A">
        <w:t>wyższego stopnia</w:t>
      </w:r>
      <w:r>
        <w:t xml:space="preserve"> rozpoznaje w terminie 14 dni </w:t>
      </w:r>
      <w:r w:rsidRPr="00D45651">
        <w:t xml:space="preserve">od dnia otrzymania akt sprawy od organu </w:t>
      </w:r>
      <w:r w:rsidR="005A2C5A">
        <w:t>pierwszej</w:t>
      </w:r>
      <w:r w:rsidRPr="00D45651">
        <w:t xml:space="preserve"> instancji</w:t>
      </w:r>
      <w:r>
        <w:t>.”.</w:t>
      </w:r>
    </w:p>
    <w:p w14:paraId="5543422D" w14:textId="04F8C6E5" w:rsidR="00932645" w:rsidRDefault="00932645" w:rsidP="00932645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907CE0">
        <w:rPr>
          <w:rStyle w:val="Ppogrubienie"/>
        </w:rPr>
        <w:t>1</w:t>
      </w:r>
      <w:r w:rsidR="007C74F8">
        <w:rPr>
          <w:rStyle w:val="Ppogrubienie"/>
        </w:rPr>
        <w:t>5</w:t>
      </w:r>
      <w:r>
        <w:rPr>
          <w:rStyle w:val="Ppogrubienie"/>
        </w:rPr>
        <w:t>.</w:t>
      </w:r>
      <w:r>
        <w:t xml:space="preserve"> W ustawie </w:t>
      </w:r>
      <w:bookmarkStart w:id="13" w:name="_Hlk98261515"/>
      <w:r>
        <w:t xml:space="preserve">z dnia 27 sierpnia 2009 r. o finansach publicznych </w:t>
      </w:r>
      <w:bookmarkEnd w:id="13"/>
      <w:r>
        <w:t>(Dz. U. z 202</w:t>
      </w:r>
      <w:r w:rsidR="00BA13BF">
        <w:t>2</w:t>
      </w:r>
      <w:r>
        <w:t xml:space="preserve"> r. poz. </w:t>
      </w:r>
      <w:r w:rsidR="00BA13BF">
        <w:t>1634, 1692, 1725, 1747, 1768 i 1964</w:t>
      </w:r>
      <w:r>
        <w:t>) uchyla się art. 266.</w:t>
      </w:r>
    </w:p>
    <w:p w14:paraId="2CA68414" w14:textId="0C52DE13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907CE0">
        <w:rPr>
          <w:rStyle w:val="Ppogrubienie"/>
        </w:rPr>
        <w:t>1</w:t>
      </w:r>
      <w:r w:rsidR="00BA13BF">
        <w:rPr>
          <w:rStyle w:val="Ppogrubienie"/>
        </w:rPr>
        <w:t>6</w:t>
      </w:r>
      <w:r>
        <w:rPr>
          <w:rStyle w:val="Ppogrubienie"/>
        </w:rPr>
        <w:t>.</w:t>
      </w:r>
      <w:r>
        <w:t xml:space="preserve"> W ustawie </w:t>
      </w:r>
      <w:bookmarkStart w:id="14" w:name="_Hlk98260914"/>
      <w:r>
        <w:t xml:space="preserve">z dnia 6 marca 2018 r. – Prawo przedsiębiorców </w:t>
      </w:r>
      <w:bookmarkEnd w:id="14"/>
      <w:r>
        <w:t>(Dz. U. z 2021 r. poz. 162 i 2015 oraz z 2022 r. poz. 24</w:t>
      </w:r>
      <w:r w:rsidR="00BA13BF">
        <w:t>,</w:t>
      </w:r>
      <w:r w:rsidR="004768C8">
        <w:t xml:space="preserve"> 974</w:t>
      </w:r>
      <w:r w:rsidR="00BA13BF">
        <w:t xml:space="preserve"> i 1570</w:t>
      </w:r>
      <w:r>
        <w:t>) w art. 5 ust. 1 otrzymuje brzmienie:</w:t>
      </w:r>
    </w:p>
    <w:p w14:paraId="0B25CA1C" w14:textId="3F09E3BA" w:rsidR="00AC627C" w:rsidRDefault="00AC627C" w:rsidP="007C0957">
      <w:pPr>
        <w:pStyle w:val="ZARTzmartartykuempunktem"/>
      </w:pPr>
      <w:r>
        <w:t>„1. Nie stanowi działalności gospodarczej działalność wykonywana przez osobę fizyczną, której przychód należny z tej działalności nie przekracza w żadnym miesiącu kwoty minimalnego wynagrodzenia, o którym mowa w ustawie z dnia 10 października 2002 r. o minimalnym wynagrodzeniu za pracę (Dz.</w:t>
      </w:r>
      <w:r w:rsidR="00143F64">
        <w:t xml:space="preserve"> </w:t>
      </w:r>
      <w:r>
        <w:t>U. z 2020 r. poz. 2207), i która w okresie ostatnich 60 miesięcy nie wykonywała działalności gospodarczej.”.</w:t>
      </w:r>
    </w:p>
    <w:bookmarkEnd w:id="0"/>
    <w:p w14:paraId="572FF404" w14:textId="3A7710CF" w:rsidR="00932645" w:rsidRPr="006E1011" w:rsidRDefault="00932645" w:rsidP="00932645">
      <w:pPr>
        <w:pStyle w:val="ARTartustawynprozporzdzenia"/>
        <w:spacing w:before="0"/>
      </w:pPr>
      <w:r w:rsidRPr="00EE11CA">
        <w:rPr>
          <w:rStyle w:val="Ppogrubienie"/>
        </w:rPr>
        <w:t>Art. 1</w:t>
      </w:r>
      <w:r w:rsidR="00BA13BF">
        <w:rPr>
          <w:rStyle w:val="Ppogrubienie"/>
        </w:rPr>
        <w:t>7</w:t>
      </w:r>
      <w:r w:rsidRPr="00EE11CA">
        <w:rPr>
          <w:rStyle w:val="Ppogrubienie"/>
        </w:rPr>
        <w:t>.</w:t>
      </w:r>
      <w:r w:rsidRPr="006E1011">
        <w:t xml:space="preserve"> W ustawie z dnia </w:t>
      </w:r>
      <w:r>
        <w:t>5</w:t>
      </w:r>
      <w:r w:rsidRPr="006E1011">
        <w:t xml:space="preserve"> </w:t>
      </w:r>
      <w:r>
        <w:t xml:space="preserve">lipca </w:t>
      </w:r>
      <w:r w:rsidRPr="006E1011">
        <w:t>201</w:t>
      </w:r>
      <w:r>
        <w:t xml:space="preserve">8 </w:t>
      </w:r>
      <w:r w:rsidRPr="006E1011">
        <w:t xml:space="preserve">r. o </w:t>
      </w:r>
      <w:r w:rsidRPr="00EC1A3B">
        <w:t>ułatwieniach w przygotowaniu i realizacji inwestycji mieszkaniowych oraz inwestycji towarzyszących</w:t>
      </w:r>
      <w:r w:rsidRPr="006E1011">
        <w:t xml:space="preserve"> </w:t>
      </w:r>
      <w:r w:rsidRPr="00FD7369">
        <w:t>(Dz.</w:t>
      </w:r>
      <w:r>
        <w:t xml:space="preserve"> </w:t>
      </w:r>
      <w:r w:rsidRPr="00FD7369">
        <w:t>U. z 2021 r. poz. 1538</w:t>
      </w:r>
      <w:r w:rsidRPr="006E1011">
        <w:t>) wprowadza się następujące zmiany:</w:t>
      </w:r>
    </w:p>
    <w:p w14:paraId="65B126F3" w14:textId="77777777" w:rsidR="00932645" w:rsidRDefault="00932645">
      <w:pPr>
        <w:pStyle w:val="PKTpunkt"/>
        <w:numPr>
          <w:ilvl w:val="0"/>
          <w:numId w:val="20"/>
        </w:numPr>
      </w:pPr>
      <w:r>
        <w:t>w art. 2 w pkt 6 kropkę zastępuje się średnikiem, po którym dodaje się pkt 7 i 8 w brzmieniu:</w:t>
      </w:r>
    </w:p>
    <w:p w14:paraId="58302EE3" w14:textId="77777777" w:rsidR="00932645" w:rsidRDefault="00932645" w:rsidP="00932645">
      <w:pPr>
        <w:pStyle w:val="PKTpunkt"/>
        <w:ind w:left="876" w:firstLine="0"/>
      </w:pPr>
      <w:r>
        <w:t xml:space="preserve">„7) teren biologicznie czynny – teren biologicznie czynny </w:t>
      </w:r>
      <w:r w:rsidRPr="00000B5B">
        <w:t>w rozumieniu przepisów wydanych na podstawie art. 7 ust. 2 pkt 1 ustawy z dnia 7 lipca 1994 r. – Prawo budowlane</w:t>
      </w:r>
      <w:r>
        <w:t>;</w:t>
      </w:r>
    </w:p>
    <w:p w14:paraId="4B83A8E9" w14:textId="1A92FFD5" w:rsidR="00932645" w:rsidRDefault="00932645" w:rsidP="00932645">
      <w:pPr>
        <w:pStyle w:val="PKTpunkt"/>
        <w:ind w:left="876" w:firstLine="0"/>
      </w:pPr>
      <w:r>
        <w:t xml:space="preserve">8) zabudowa śródmiejska – zabudowa śródmiejska </w:t>
      </w:r>
      <w:r w:rsidRPr="00000B5B">
        <w:t>w rozumieniu przepisów wydanych na podstawie art. 7 ust. 2 pkt 1 ustawy z dnia 7 lipca 1994 r. – Prawo budowlane</w:t>
      </w:r>
      <w:r w:rsidR="00907CE0">
        <w:t>.</w:t>
      </w:r>
      <w:r>
        <w:t>”;</w:t>
      </w:r>
    </w:p>
    <w:p w14:paraId="14F3C272" w14:textId="77777777" w:rsidR="00932645" w:rsidRPr="00416166" w:rsidRDefault="00932645">
      <w:pPr>
        <w:pStyle w:val="PKTpunkt"/>
        <w:numPr>
          <w:ilvl w:val="0"/>
          <w:numId w:val="20"/>
        </w:numPr>
      </w:pPr>
      <w:r w:rsidRPr="00416166">
        <w:t xml:space="preserve">art. 3 otrzymuje brzmienie: </w:t>
      </w:r>
    </w:p>
    <w:p w14:paraId="6677540C" w14:textId="77777777" w:rsidR="00932645" w:rsidRPr="00416166" w:rsidRDefault="00932645" w:rsidP="00932645">
      <w:pPr>
        <w:pStyle w:val="ZARTzmartartykuempunktem"/>
        <w:ind w:left="312" w:firstLine="708"/>
        <w:rPr>
          <w:bCs/>
        </w:rPr>
      </w:pPr>
      <w:r w:rsidRPr="00416166">
        <w:rPr>
          <w:bCs/>
        </w:rPr>
        <w:t>„Art. 3</w:t>
      </w:r>
      <w:r>
        <w:rPr>
          <w:bCs/>
        </w:rPr>
        <w:t>.</w:t>
      </w:r>
      <w:r w:rsidRPr="00416166">
        <w:rPr>
          <w:bCs/>
        </w:rPr>
        <w:t xml:space="preserve"> Działalność handlową i usługową można realizować w ramach:</w:t>
      </w:r>
    </w:p>
    <w:p w14:paraId="0AE038E3" w14:textId="77777777" w:rsidR="00932645" w:rsidRPr="00416166" w:rsidRDefault="00932645">
      <w:pPr>
        <w:pStyle w:val="ZARTzmartartykuempunktem"/>
        <w:numPr>
          <w:ilvl w:val="0"/>
          <w:numId w:val="17"/>
        </w:numPr>
        <w:rPr>
          <w:bCs/>
        </w:rPr>
      </w:pPr>
      <w:r w:rsidRPr="00416166">
        <w:rPr>
          <w:bCs/>
        </w:rPr>
        <w:t>wyodrębnionej części inwestycji mieszkaniowej oraz inwestycji towarzyszącej,</w:t>
      </w:r>
    </w:p>
    <w:p w14:paraId="56F31EDA" w14:textId="77777777" w:rsidR="00932645" w:rsidRPr="00416166" w:rsidRDefault="00932645">
      <w:pPr>
        <w:pStyle w:val="ZARTzmartartykuempunktem"/>
        <w:numPr>
          <w:ilvl w:val="0"/>
          <w:numId w:val="17"/>
        </w:numPr>
        <w:rPr>
          <w:bCs/>
        </w:rPr>
      </w:pPr>
      <w:r w:rsidRPr="00416166">
        <w:rPr>
          <w:bCs/>
        </w:rPr>
        <w:t>samodzielnego obiektu budowlanego o powierzchni sprzedaży nie większej niż 2000 m</w:t>
      </w:r>
      <w:r>
        <w:rPr>
          <w:bCs/>
          <w:vertAlign w:val="superscript"/>
        </w:rPr>
        <w:t>2</w:t>
      </w:r>
    </w:p>
    <w:p w14:paraId="47F3687D" w14:textId="77777777" w:rsidR="00932645" w:rsidRPr="00416166" w:rsidRDefault="00932645">
      <w:pPr>
        <w:pStyle w:val="ZARTzmartartykuempunktem"/>
        <w:numPr>
          <w:ilvl w:val="0"/>
          <w:numId w:val="18"/>
        </w:numPr>
        <w:ind w:left="1418" w:hanging="284"/>
        <w:rPr>
          <w:bCs/>
        </w:rPr>
      </w:pPr>
      <w:r w:rsidRPr="00416166">
        <w:rPr>
          <w:bCs/>
        </w:rPr>
        <w:lastRenderedPageBreak/>
        <w:t>pod warunkiem</w:t>
      </w:r>
      <w:r>
        <w:rPr>
          <w:bCs/>
        </w:rPr>
        <w:t>,</w:t>
      </w:r>
      <w:r w:rsidRPr="00416166">
        <w:rPr>
          <w:bCs/>
        </w:rPr>
        <w:t xml:space="preserve"> że powierzchnia użytkowa przeznaczona na działalność </w:t>
      </w:r>
      <w:r>
        <w:rPr>
          <w:bCs/>
        </w:rPr>
        <w:t>handlową</w:t>
      </w:r>
      <w:r w:rsidRPr="00416166">
        <w:rPr>
          <w:bCs/>
        </w:rPr>
        <w:t xml:space="preserve"> lub usługową</w:t>
      </w:r>
      <w:r>
        <w:rPr>
          <w:bCs/>
        </w:rPr>
        <w:t xml:space="preserve"> nie będzie mniejsza niż 5% i</w:t>
      </w:r>
      <w:r w:rsidRPr="00416166">
        <w:rPr>
          <w:bCs/>
        </w:rPr>
        <w:t xml:space="preserve"> nie przekroczy 40% powierzchni użytkowej mieszkań.</w:t>
      </w:r>
      <w:r>
        <w:rPr>
          <w:bCs/>
        </w:rPr>
        <w:t>”;</w:t>
      </w:r>
    </w:p>
    <w:p w14:paraId="5FFC4E56" w14:textId="77777777" w:rsidR="00932645" w:rsidRPr="00416166" w:rsidRDefault="00932645" w:rsidP="00932645">
      <w:pPr>
        <w:pStyle w:val="PKTpunkt"/>
      </w:pPr>
      <w:r w:rsidRPr="00416166">
        <w:t>2)</w:t>
      </w:r>
      <w:r w:rsidRPr="00416166">
        <w:tab/>
        <w:t xml:space="preserve">w art. 5: </w:t>
      </w:r>
    </w:p>
    <w:p w14:paraId="6D562BA8" w14:textId="77777777" w:rsidR="00932645" w:rsidRDefault="00932645">
      <w:pPr>
        <w:pStyle w:val="PKTpunkt"/>
        <w:numPr>
          <w:ilvl w:val="0"/>
          <w:numId w:val="12"/>
        </w:numPr>
      </w:pPr>
      <w:r>
        <w:t>ust. 4 otrzymuje brzmienie:</w:t>
      </w:r>
    </w:p>
    <w:p w14:paraId="1DD5B3E2" w14:textId="77777777" w:rsidR="00932645" w:rsidRPr="00FF7532" w:rsidRDefault="00932645" w:rsidP="00932645">
      <w:pPr>
        <w:pStyle w:val="PKTpunkt"/>
        <w:ind w:left="876"/>
      </w:pPr>
      <w:r>
        <w:tab/>
        <w:t>„4.</w:t>
      </w:r>
      <w:r w:rsidRPr="00FF7532">
        <w:t xml:space="preserve"> Warunek niesprzeczności ze studium nie dotyczy terenów, które były wykorzystywane jako tereny związane z funkcją kolejową, w tym tereny bocznic kolejowych, wojskową, produkcyjną, przemysłową, handlową, usługową, w tym usług pocztowych, baz komunikacyjnych, baz transportowych, techniczną, łączności, składową lub magazynową</w:t>
      </w:r>
      <w:r>
        <w:t>,</w:t>
      </w:r>
      <w:r w:rsidRPr="00EE2E52">
        <w:t xml:space="preserve"> a obecnie funkcje te nie są na tych terenach realizowane</w:t>
      </w:r>
      <w:r>
        <w:t>.</w:t>
      </w:r>
      <w:r w:rsidRPr="00FF7532">
        <w:t>”,</w:t>
      </w:r>
    </w:p>
    <w:p w14:paraId="2A62B5A7" w14:textId="77777777" w:rsidR="00932645" w:rsidRDefault="00932645">
      <w:pPr>
        <w:pStyle w:val="PKTpunkt"/>
        <w:numPr>
          <w:ilvl w:val="0"/>
          <w:numId w:val="12"/>
        </w:numPr>
      </w:pPr>
      <w:r>
        <w:t>po ust. 4 dodaje się ust. 5 w brzmieniu:</w:t>
      </w:r>
    </w:p>
    <w:p w14:paraId="27DF8543" w14:textId="77777777" w:rsidR="00932645" w:rsidRDefault="00932645" w:rsidP="00932645">
      <w:pPr>
        <w:pStyle w:val="ZARTzmartartykuempunktem"/>
        <w:ind w:left="984" w:hanging="114"/>
      </w:pPr>
      <w:r>
        <w:t xml:space="preserve">„5. Warunek niesprzeczności ze studium nie dotyczy ponadto terenów: </w:t>
      </w:r>
    </w:p>
    <w:p w14:paraId="45081AA7" w14:textId="77777777" w:rsidR="00932645" w:rsidRDefault="00932645">
      <w:pPr>
        <w:pStyle w:val="ZARTzmartartykuempunktem"/>
        <w:numPr>
          <w:ilvl w:val="0"/>
          <w:numId w:val="19"/>
        </w:numPr>
        <w:ind w:left="1590"/>
      </w:pPr>
      <w:r>
        <w:t>określonych w studium jako tereny o kierunku zmian lub o przeznaczeniu pod funkcję usługową lub handlową,</w:t>
      </w:r>
    </w:p>
    <w:p w14:paraId="62F3652A" w14:textId="77777777" w:rsidR="00932645" w:rsidRDefault="00932645">
      <w:pPr>
        <w:pStyle w:val="ZARTzmartartykuempunktem"/>
        <w:numPr>
          <w:ilvl w:val="0"/>
          <w:numId w:val="19"/>
        </w:numPr>
        <w:ind w:left="1590"/>
      </w:pPr>
      <w:r>
        <w:t>dla których w studium określono więcej niż jeden kierunek zmian lub więcej niż jedno przeznaczenie - jeżeli jako kierunek lub przeznaczenie dominujące wyznaczono dla nich funkcję usługową lub handlową</w:t>
      </w:r>
    </w:p>
    <w:p w14:paraId="2E7CD6B3" w14:textId="77777777" w:rsidR="00932645" w:rsidRDefault="00932645">
      <w:pPr>
        <w:pStyle w:val="ZARTzmartartykuempunktem"/>
        <w:numPr>
          <w:ilvl w:val="0"/>
          <w:numId w:val="18"/>
        </w:numPr>
        <w:ind w:left="1268" w:hanging="284"/>
      </w:pPr>
      <w:r>
        <w:t xml:space="preserve">włącznie z terenami, na </w:t>
      </w:r>
      <w:r w:rsidRPr="00117816">
        <w:t>których przewidziana została możliwość realizacji obiektów handlowych o powierzchni sprzedaży powyżej 2000</w:t>
      </w:r>
      <w:r>
        <w:t xml:space="preserve"> </w:t>
      </w:r>
      <w:r w:rsidRPr="00117816">
        <w:t>m</w:t>
      </w:r>
      <w:r>
        <w:rPr>
          <w:vertAlign w:val="superscript"/>
        </w:rPr>
        <w:t>2</w:t>
      </w:r>
      <w:r>
        <w:t>.”;</w:t>
      </w:r>
    </w:p>
    <w:p w14:paraId="06454DB9" w14:textId="77777777" w:rsidR="00932645" w:rsidRDefault="00932645" w:rsidP="00932645">
      <w:pPr>
        <w:pStyle w:val="PKTpunkt"/>
      </w:pPr>
      <w:r>
        <w:t>3)</w:t>
      </w:r>
      <w:r>
        <w:tab/>
        <w:t xml:space="preserve">w art. 7 ust. 7: </w:t>
      </w:r>
    </w:p>
    <w:p w14:paraId="2BC36AA1" w14:textId="77777777" w:rsidR="00932645" w:rsidRDefault="00932645">
      <w:pPr>
        <w:pStyle w:val="PKTpunkt"/>
        <w:numPr>
          <w:ilvl w:val="0"/>
          <w:numId w:val="13"/>
        </w:numPr>
      </w:pPr>
      <w:r>
        <w:t>po pkt 7 dodaje się pkt 7a w brzmieniu:</w:t>
      </w:r>
    </w:p>
    <w:p w14:paraId="02DE73B7" w14:textId="77777777" w:rsidR="00932645" w:rsidRDefault="00932645" w:rsidP="00932645">
      <w:pPr>
        <w:pStyle w:val="PKTpunkt"/>
        <w:ind w:left="708" w:firstLine="708"/>
      </w:pPr>
      <w:r>
        <w:t>„7a) o</w:t>
      </w:r>
      <w:r w:rsidRPr="00662F55">
        <w:t>kreślenie minimalnego udziału powierzchni ogólnodostępnego, nieogrodzonego urządzonego terenu wypoczynku oraz rekreacji lub sportu lokalizowanego w ramach terenu biologicznie czynnego na terenie inwestycji mieszkaniowej</w:t>
      </w:r>
      <w:r>
        <w:t>;”,</w:t>
      </w:r>
    </w:p>
    <w:p w14:paraId="2B09E310" w14:textId="77777777" w:rsidR="00932645" w:rsidRDefault="00932645">
      <w:pPr>
        <w:pStyle w:val="PKTpunkt"/>
        <w:numPr>
          <w:ilvl w:val="0"/>
          <w:numId w:val="13"/>
        </w:numPr>
      </w:pPr>
      <w:r>
        <w:t>ust. 7 pkt 12 otrzymuje brzmienie:</w:t>
      </w:r>
    </w:p>
    <w:p w14:paraId="35589D67" w14:textId="77777777" w:rsidR="00932645" w:rsidRDefault="00932645" w:rsidP="00932645">
      <w:pPr>
        <w:pStyle w:val="PKTpunkt"/>
        <w:ind w:left="708" w:firstLine="708"/>
        <w:rPr>
          <w:rFonts w:ascii="Times New Roman" w:eastAsia="Times New Roman" w:hAnsi="Times New Roman" w:cs="Times New Roman"/>
          <w:color w:val="000000"/>
          <w:szCs w:val="22"/>
        </w:rPr>
      </w:pPr>
      <w:r>
        <w:t xml:space="preserve">„12) </w:t>
      </w:r>
      <w:r>
        <w:tab/>
      </w:r>
      <w:r w:rsidRPr="003A0B5B">
        <w:rPr>
          <w:rFonts w:ascii="Times New Roman" w:eastAsia="Times New Roman" w:hAnsi="Times New Roman" w:cs="Times New Roman"/>
          <w:color w:val="000000"/>
          <w:szCs w:val="22"/>
        </w:rPr>
        <w:t xml:space="preserve">wskazanie, że planowana inwestycja nie jest sprzeczna ze studium uwarunkowań i kierunków zagospodarowania przestrzennego gminy, z wyłączeniem terenów, o których mowa w art. </w:t>
      </w:r>
      <w:r w:rsidRPr="00ED6A42">
        <w:rPr>
          <w:color w:val="000000"/>
        </w:rPr>
        <w:t>5 ust. 4</w:t>
      </w:r>
      <w:r>
        <w:rPr>
          <w:color w:val="000000"/>
        </w:rPr>
        <w:t>-5</w:t>
      </w:r>
      <w:r w:rsidRPr="00ED6A42">
        <w:rPr>
          <w:color w:val="000000"/>
        </w:rPr>
        <w:t>,</w:t>
      </w:r>
      <w:r>
        <w:rPr>
          <w:color w:val="000000"/>
        </w:rPr>
        <w:t xml:space="preserve"> albo </w:t>
      </w:r>
      <w:r w:rsidRPr="00561DB8">
        <w:rPr>
          <w:color w:val="000000"/>
        </w:rPr>
        <w:t>że planowana inwestycja leży na terenie, o którym mowa w art. 5 ust. 4</w:t>
      </w:r>
      <w:r w:rsidRPr="003A0B5B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</w:rPr>
        <w:t>i</w:t>
      </w:r>
      <w:r w:rsidRPr="003A0B5B">
        <w:rPr>
          <w:rFonts w:ascii="Times New Roman" w:eastAsia="Times New Roman" w:hAnsi="Times New Roman" w:cs="Times New Roman"/>
          <w:color w:val="000000"/>
          <w:szCs w:val="22"/>
        </w:rPr>
        <w:t xml:space="preserve"> nie jest sprzeczna z uchwałą o utworzeniu parku kulturowego;</w:t>
      </w:r>
      <w:r>
        <w:rPr>
          <w:rFonts w:ascii="Times New Roman" w:eastAsia="Times New Roman" w:hAnsi="Times New Roman" w:cs="Times New Roman"/>
          <w:color w:val="000000"/>
          <w:szCs w:val="22"/>
        </w:rPr>
        <w:t>”;</w:t>
      </w:r>
    </w:p>
    <w:p w14:paraId="239B58ED" w14:textId="77777777" w:rsidR="00932645" w:rsidRPr="00B5220D" w:rsidRDefault="00932645">
      <w:pPr>
        <w:pStyle w:val="PKTpunkt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Cs w:val="22"/>
        </w:rPr>
      </w:pPr>
      <w:r w:rsidRPr="00B5220D">
        <w:rPr>
          <w:rFonts w:ascii="Times New Roman" w:eastAsia="Times New Roman" w:hAnsi="Times New Roman" w:cs="Times New Roman"/>
          <w:color w:val="000000"/>
          <w:szCs w:val="22"/>
        </w:rPr>
        <w:t>w art. 8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Pr="00B5220D">
        <w:rPr>
          <w:rFonts w:ascii="Times New Roman" w:eastAsia="Times New Roman" w:hAnsi="Times New Roman" w:cs="Times New Roman"/>
          <w:color w:val="000000"/>
          <w:szCs w:val="22"/>
        </w:rPr>
        <w:t>ust. 3 otrzymuje brzmienie:</w:t>
      </w:r>
    </w:p>
    <w:p w14:paraId="19AF5424" w14:textId="77777777" w:rsidR="00932645" w:rsidRPr="00B5220D" w:rsidRDefault="00932645" w:rsidP="00932645">
      <w:pPr>
        <w:pStyle w:val="PKTpunkt"/>
        <w:ind w:left="876"/>
      </w:pPr>
      <w:r>
        <w:tab/>
      </w:r>
      <w:r w:rsidRPr="00B5220D">
        <w:t xml:space="preserve">„3. Uchwała o ustaleniu lokalizacji inwestycji mieszkaniowej wygasa, jeżeli przed upływem 6 lat od dnia opublikowania uchwały w wojewódzkim dzienniku </w:t>
      </w:r>
      <w:r w:rsidRPr="00B5220D">
        <w:lastRenderedPageBreak/>
        <w:t>urzędowym decyzja o pozwoleniu na budowę inwestycji mieszkaniowej nie stała się ostateczna.”</w:t>
      </w:r>
      <w:r>
        <w:t>;</w:t>
      </w:r>
    </w:p>
    <w:p w14:paraId="763BACF6" w14:textId="77777777" w:rsidR="00932645" w:rsidRDefault="00932645">
      <w:pPr>
        <w:pStyle w:val="PKTpunkt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w art. 17:</w:t>
      </w:r>
    </w:p>
    <w:p w14:paraId="6A6748EF" w14:textId="77777777" w:rsidR="00932645" w:rsidRDefault="00932645">
      <w:pPr>
        <w:pStyle w:val="PKTpunkt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po ust. 4 dodaje się ust. 4a-4d w brzmieniu:</w:t>
      </w:r>
    </w:p>
    <w:p w14:paraId="1765E480" w14:textId="77777777" w:rsidR="00932645" w:rsidRDefault="00932645" w:rsidP="00932645">
      <w:pPr>
        <w:pStyle w:val="PKTpunkt"/>
        <w:ind w:left="876"/>
      </w:pPr>
      <w:r>
        <w:tab/>
      </w:r>
      <w:r w:rsidRPr="0028601E">
        <w:t>„4a. Dla inwestycji mieszkaniowej określa się</w:t>
      </w:r>
      <w:r>
        <w:t>:</w:t>
      </w:r>
    </w:p>
    <w:p w14:paraId="3AFBB6A7" w14:textId="77777777" w:rsidR="00932645" w:rsidRDefault="00932645">
      <w:pPr>
        <w:pStyle w:val="PKTpunkt"/>
        <w:numPr>
          <w:ilvl w:val="0"/>
          <w:numId w:val="24"/>
        </w:numPr>
      </w:pPr>
      <w:r w:rsidRPr="0028601E">
        <w:t xml:space="preserve">minimalny udział powierzchni terenu biologicznie czynnego wynoszący co najmniej 25% powierzchni terenu inwestycji mieszkaniowej, przy czym co najmniej </w:t>
      </w:r>
      <w:r>
        <w:t>5</w:t>
      </w:r>
      <w:r w:rsidRPr="0028601E">
        <w:t>0% terenu biologicznie czynnego stanowić ma ogólnodostępny,</w:t>
      </w:r>
      <w:r>
        <w:t xml:space="preserve"> </w:t>
      </w:r>
      <w:r w:rsidRPr="0028601E">
        <w:t>nieogrodzony urządzony teren wypoczynku oraz rekreacji lub sportu, o którym mowa w ust. 4</w:t>
      </w:r>
      <w:r>
        <w:t>;</w:t>
      </w:r>
    </w:p>
    <w:p w14:paraId="659AE854" w14:textId="77777777" w:rsidR="00932645" w:rsidRPr="0028601E" w:rsidRDefault="00932645">
      <w:pPr>
        <w:pStyle w:val="PKTpunkt"/>
        <w:numPr>
          <w:ilvl w:val="0"/>
          <w:numId w:val="24"/>
        </w:numPr>
      </w:pPr>
      <w:r w:rsidRPr="0028601E">
        <w:t xml:space="preserve"> </w:t>
      </w:r>
      <w:r>
        <w:t>minimalną liczbę miejsc postojowych wynoszącą co najmniej 1,5-krotność liczby mieszkań przewidzianej do realizacji w ramach inwestycji mieszkaniowej.</w:t>
      </w:r>
    </w:p>
    <w:p w14:paraId="02CFB92F" w14:textId="77777777" w:rsidR="00932645" w:rsidRPr="0028601E" w:rsidRDefault="00932645" w:rsidP="00932645">
      <w:pPr>
        <w:pStyle w:val="PKTpunkt"/>
        <w:ind w:left="876"/>
      </w:pPr>
      <w:r>
        <w:tab/>
      </w:r>
      <w:r w:rsidRPr="0028601E">
        <w:t>4b. Obowiązek zapewnienia minimalnego udziału ogólnodostępnego, nieogrodzonego, urządzonego terenu wypoczynku oraz rekreacji lub sportu w ramach terenu biologicznie czynnego, o którym mowa w ust. 4a</w:t>
      </w:r>
      <w:r>
        <w:t xml:space="preserve"> pkt 1</w:t>
      </w:r>
      <w:r w:rsidRPr="0028601E">
        <w:t>, nie dotyczy:</w:t>
      </w:r>
    </w:p>
    <w:p w14:paraId="75FFEB4E" w14:textId="77777777" w:rsidR="00932645" w:rsidRDefault="00932645">
      <w:pPr>
        <w:pStyle w:val="PKTpunkt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inwestycji mieszkaniowych obejmujących swoim zakresem budowę, przebudowę lub zmianę sposobu użytkowania budynków mieszkalnych jednorodzinnych;</w:t>
      </w:r>
    </w:p>
    <w:p w14:paraId="75F3081F" w14:textId="77777777" w:rsidR="00932645" w:rsidRDefault="00932645">
      <w:pPr>
        <w:pStyle w:val="PKTpunkt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inwestycji mieszkaniowych zlokalizowanych w obszarze zabudowy śródmiejskiej;</w:t>
      </w:r>
    </w:p>
    <w:p w14:paraId="078B76B1" w14:textId="2063D6DD" w:rsidR="00932645" w:rsidRDefault="00932645">
      <w:pPr>
        <w:pStyle w:val="PKTpunkt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udostępnienia urządzonego terenu wypoczynku oraz rekreacji lub sportu na terenie inwestycji towarzyszącej – pod warunkiem spełnienia przez ten </w:t>
      </w:r>
      <w:r w:rsidR="001F65AD">
        <w:rPr>
          <w:rFonts w:ascii="Times New Roman" w:eastAsia="Times New Roman" w:hAnsi="Times New Roman" w:cs="Times New Roman"/>
          <w:color w:val="000000"/>
          <w:szCs w:val="22"/>
        </w:rPr>
        <w:t>teren, wymogów</w:t>
      </w:r>
      <w:r>
        <w:rPr>
          <w:rFonts w:ascii="Times New Roman" w:eastAsia="Times New Roman" w:hAnsi="Times New Roman" w:cs="Times New Roman"/>
          <w:color w:val="000000"/>
          <w:szCs w:val="22"/>
        </w:rPr>
        <w:t>, o których mowa w ust. 4.</w:t>
      </w:r>
    </w:p>
    <w:p w14:paraId="0C55074C" w14:textId="77777777" w:rsidR="00932645" w:rsidRPr="0028601E" w:rsidRDefault="00932645" w:rsidP="00932645">
      <w:pPr>
        <w:pStyle w:val="PKTpunkt"/>
        <w:ind w:left="876"/>
      </w:pPr>
      <w:r>
        <w:tab/>
      </w:r>
      <w:r w:rsidRPr="0028601E">
        <w:t>4c. Lokalizacja ogólnodostępnego, nieogrodzonego, urządzonego terenu wypoczynku oraz rekreacji lub sportu w ramach terenu biologicznie czynnego</w:t>
      </w:r>
      <w:r>
        <w:t>, o którym mowa w ust. 4a pkt 1,</w:t>
      </w:r>
      <w:r w:rsidRPr="0028601E">
        <w:t xml:space="preserve"> na terenie inwestycji mieszkaniowej zapewnia spełnienie wymogów, o których mowa w ust. 4.</w:t>
      </w:r>
    </w:p>
    <w:p w14:paraId="35059B6B" w14:textId="77777777" w:rsidR="00932645" w:rsidRDefault="00932645" w:rsidP="00932645">
      <w:pPr>
        <w:pStyle w:val="PKTpunkt"/>
        <w:ind w:left="876"/>
      </w:pPr>
      <w:r>
        <w:tab/>
      </w:r>
      <w:r w:rsidRPr="0028601E">
        <w:t>4d. Dla inwestycji mieszkaniowej zlokalizowanej w obszarze zabudowy śródmiejskiej</w:t>
      </w:r>
      <w:r>
        <w:t>:</w:t>
      </w:r>
    </w:p>
    <w:p w14:paraId="3328232D" w14:textId="77777777" w:rsidR="00932645" w:rsidRDefault="00932645">
      <w:pPr>
        <w:pStyle w:val="PKTpunkt"/>
        <w:numPr>
          <w:ilvl w:val="0"/>
          <w:numId w:val="25"/>
        </w:numPr>
      </w:pPr>
      <w:r w:rsidRPr="0028601E">
        <w:t>określa się minimalny udział powierzchni terenu biologicznie czynnego, wynoszący 12,5%</w:t>
      </w:r>
      <w:r>
        <w:t>;</w:t>
      </w:r>
    </w:p>
    <w:p w14:paraId="25DA3DE1" w14:textId="77777777" w:rsidR="00932645" w:rsidRPr="0028601E" w:rsidRDefault="00932645">
      <w:pPr>
        <w:pStyle w:val="PKTpunkt"/>
        <w:numPr>
          <w:ilvl w:val="0"/>
          <w:numId w:val="25"/>
        </w:numPr>
      </w:pPr>
      <w:r>
        <w:t>określa się minimalną liczbę miejsc postojowych co najmniej równą liczbie mieszkań przewidzianej do realizacji w ramach inwestycji mieszkaniowej.</w:t>
      </w:r>
      <w:r w:rsidRPr="0028601E">
        <w:t>”;</w:t>
      </w:r>
    </w:p>
    <w:p w14:paraId="4084B3FC" w14:textId="77777777" w:rsidR="00932645" w:rsidRDefault="00932645">
      <w:pPr>
        <w:pStyle w:val="PKTpunkt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lastRenderedPageBreak/>
        <w:t>ust. 5 otrzymuje brzmienie:</w:t>
      </w:r>
    </w:p>
    <w:p w14:paraId="3DF99CD2" w14:textId="77777777" w:rsidR="00932645" w:rsidRDefault="00932645" w:rsidP="00932645">
      <w:pPr>
        <w:pStyle w:val="PKTpunkt"/>
        <w:ind w:left="876"/>
      </w:pPr>
      <w:r>
        <w:tab/>
      </w:r>
      <w:r w:rsidRPr="0028601E">
        <w:t>„5. Wymogi, o których mowa w ust. 1, 2</w:t>
      </w:r>
      <w:r>
        <w:t>,</w:t>
      </w:r>
      <w:r w:rsidRPr="0028601E">
        <w:t xml:space="preserve"> 4</w:t>
      </w:r>
      <w:r>
        <w:t xml:space="preserve"> i 4a</w:t>
      </w:r>
      <w:r w:rsidRPr="0028601E">
        <w:t>, można spełnić zarówno w oparciu o infrastrukturę istniejącą w dniu składania wniosku o ustalenie lokalizacji inwestycji mieszkaniowej, jak i w oparciu o infrastrukturę planowaną do realizacji.</w:t>
      </w:r>
      <w:r>
        <w:t>”;</w:t>
      </w:r>
    </w:p>
    <w:p w14:paraId="2C01E8B3" w14:textId="77777777" w:rsidR="00932645" w:rsidRDefault="00932645">
      <w:pPr>
        <w:pStyle w:val="PKTpunkt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w art. 19 ust. 3 otrzymuje brzmienie:</w:t>
      </w:r>
    </w:p>
    <w:p w14:paraId="6048EEA5" w14:textId="08C290BC" w:rsidR="00932645" w:rsidRDefault="00932645" w:rsidP="00932645">
      <w:pPr>
        <w:pStyle w:val="PKTpunkt"/>
        <w:ind w:left="870"/>
      </w:pPr>
      <w:r>
        <w:tab/>
        <w:t>„3. W lokalnych standardach urbanistycznych, o których mowa w ust. 1, rada gminy może określić liczby miejsc postojowych niezbędnych dla obsługi realizowanej inwestycji mieszkaniowej większe niż określone w art. 17 ust. 4a pkt 2 lub w art. 17 ust. 4d pkt 2 ustawy lub obowiązek zapewnienia dostępu do sieci ciepłowniczej na zasadach wynikających z przepisów ustawy z dnia 10 kwietnia 1997 r. - Prawo energetyczne (</w:t>
      </w:r>
      <w:r w:rsidR="00A477D3" w:rsidRPr="00A477D3">
        <w:t>Dz. U. z 2022 r. poz. 1385 i 1723</w:t>
      </w:r>
      <w:r>
        <w:t>).</w:t>
      </w:r>
    </w:p>
    <w:p w14:paraId="45D723AA" w14:textId="2DB40A61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t>Art. 1</w:t>
      </w:r>
      <w:r w:rsidR="00A477D3">
        <w:rPr>
          <w:rStyle w:val="Ppogrubienie"/>
        </w:rPr>
        <w:t>8</w:t>
      </w:r>
      <w:r>
        <w:rPr>
          <w:rStyle w:val="Ppogrubienie"/>
        </w:rPr>
        <w:t>.</w:t>
      </w:r>
      <w:r>
        <w:t xml:space="preserve"> W </w:t>
      </w:r>
      <w:bookmarkStart w:id="15" w:name="_Hlk90840792"/>
      <w:r>
        <w:t xml:space="preserve">ustawie </w:t>
      </w:r>
      <w:bookmarkStart w:id="16" w:name="_Hlk93839370"/>
      <w:r>
        <w:t>z dnia 31 marca 2020 r. o zmianie ustawy o szczególnych rozwiązaniach związanych z zapobieganiem, przeciwdziałaniem i zwalczaniem COVID-19, innych chorób zakaźnych oraz wywołanych nimi sytuacji kryzysowych oraz niektórych innych ustaw</w:t>
      </w:r>
      <w:bookmarkEnd w:id="15"/>
      <w:r>
        <w:t xml:space="preserve"> </w:t>
      </w:r>
      <w:bookmarkEnd w:id="16"/>
      <w:r>
        <w:t>(Dz. U. poz. 568 z późn. zm.</w:t>
      </w:r>
      <w:r>
        <w:rPr>
          <w:rStyle w:val="Odwoanieprzypisudolnego"/>
        </w:rPr>
        <w:footnoteReference w:id="4"/>
      </w:r>
      <w:r>
        <w:t xml:space="preserve">) art. 100 otrzymuje brzmienie: </w:t>
      </w:r>
    </w:p>
    <w:p w14:paraId="6980148F" w14:textId="7DD30983" w:rsidR="00AC627C" w:rsidRDefault="00AC627C" w:rsidP="007C0957">
      <w:pPr>
        <w:pStyle w:val="ZUSTzmustartykuempunktem"/>
      </w:pPr>
      <w:r>
        <w:t>„Art. 100. W przypadku ogłoszenia stanu zagrożenia epidemicznego lub stanu epidemii albo wprowadzenia stanu nadzwyczajnego profil zaufany, o którym mowa w art. 3 pkt 14 ustawy z dnia 17 lutego 2005 r. o informatyzacji działalności podmiotów realizujących zadania publiczne (Dz. U. z 2021 r. poz. 2070</w:t>
      </w:r>
      <w:r w:rsidR="00A12F56">
        <w:t xml:space="preserve"> oraz z 2022 r. poz. 1087</w:t>
      </w:r>
      <w:r>
        <w:t>), zachowuje ważność do końca trzeciego miesiąca</w:t>
      </w:r>
      <w:r w:rsidR="00F972AF">
        <w:t>,</w:t>
      </w:r>
      <w:r>
        <w:t xml:space="preserve"> </w:t>
      </w:r>
      <w:r w:rsidR="00F972AF">
        <w:t xml:space="preserve">licząc od </w:t>
      </w:r>
      <w:r>
        <w:t>miesiąc</w:t>
      </w:r>
      <w:r w:rsidR="00F972AF">
        <w:t>a</w:t>
      </w:r>
      <w:r>
        <w:t>, w którym odwołano stan zagrożenia epidemicznego lub stan epidemii albo zniesiono stan nadzwyczajny</w:t>
      </w:r>
      <w:r w:rsidR="006C66D8">
        <w:t>,</w:t>
      </w:r>
      <w:r>
        <w:t xml:space="preserve"> jednocześnie nie ogłaszając ani nie wprowadzając</w:t>
      </w:r>
      <w:r w:rsidR="00633F39">
        <w:t xml:space="preserve"> żadnego</w:t>
      </w:r>
      <w:r>
        <w:t xml:space="preserve"> z tych stanów.”.</w:t>
      </w:r>
    </w:p>
    <w:p w14:paraId="67407242" w14:textId="1A725961" w:rsidR="004E1037" w:rsidRDefault="00B75BE0" w:rsidP="007C0957">
      <w:pPr>
        <w:pStyle w:val="ARTartustawynprozporzdzenia"/>
        <w:spacing w:before="0"/>
      </w:pPr>
      <w:bookmarkStart w:id="17" w:name="_Hlk101285343"/>
      <w:r w:rsidRPr="00EE11CA">
        <w:rPr>
          <w:rStyle w:val="Ppogrubienie"/>
        </w:rPr>
        <w:t>Art. 1</w:t>
      </w:r>
      <w:r w:rsidR="00A477D3">
        <w:rPr>
          <w:rStyle w:val="Ppogrubienie"/>
        </w:rPr>
        <w:t>9</w:t>
      </w:r>
      <w:r w:rsidRPr="00EE11CA">
        <w:rPr>
          <w:rStyle w:val="Ppogrubienie"/>
        </w:rPr>
        <w:t>.</w:t>
      </w:r>
      <w:r w:rsidRPr="006E1011">
        <w:t xml:space="preserve"> W ustawie z dnia </w:t>
      </w:r>
      <w:r>
        <w:t xml:space="preserve">14 grudnia </w:t>
      </w:r>
      <w:r w:rsidRPr="006E1011">
        <w:t>201</w:t>
      </w:r>
      <w:r>
        <w:t xml:space="preserve">2 </w:t>
      </w:r>
      <w:r w:rsidRPr="006E1011">
        <w:t xml:space="preserve">r. o </w:t>
      </w:r>
      <w:r>
        <w:t>odpadach</w:t>
      </w:r>
      <w:r w:rsidRPr="006E1011">
        <w:t xml:space="preserve"> </w:t>
      </w:r>
      <w:r w:rsidRPr="00FD7369">
        <w:t>(Dz.</w:t>
      </w:r>
      <w:r>
        <w:t xml:space="preserve"> </w:t>
      </w:r>
      <w:r w:rsidRPr="00FD7369">
        <w:t>U. z 202</w:t>
      </w:r>
      <w:r>
        <w:t>2</w:t>
      </w:r>
      <w:r w:rsidRPr="00FD7369">
        <w:t xml:space="preserve"> r. poz. </w:t>
      </w:r>
      <w:r>
        <w:t>699</w:t>
      </w:r>
      <w:r w:rsidR="00A477D3">
        <w:t>, 1250 i 1726</w:t>
      </w:r>
      <w:r w:rsidRPr="006E1011">
        <w:t xml:space="preserve">) </w:t>
      </w:r>
      <w:r w:rsidR="004E1037">
        <w:t>wprowadza się następujące zmiany:</w:t>
      </w:r>
    </w:p>
    <w:p w14:paraId="24F5CC1B" w14:textId="24C1492F" w:rsidR="007165EA" w:rsidRDefault="007165EA">
      <w:pPr>
        <w:pStyle w:val="ARTartustawynprozporzdzenia"/>
        <w:numPr>
          <w:ilvl w:val="0"/>
          <w:numId w:val="22"/>
        </w:numPr>
        <w:spacing w:before="0"/>
      </w:pPr>
      <w:r>
        <w:t>w art. 48a</w:t>
      </w:r>
      <w:r w:rsidR="00C37DED">
        <w:t>:</w:t>
      </w:r>
    </w:p>
    <w:p w14:paraId="1A50F690" w14:textId="53493829" w:rsidR="004E1037" w:rsidRPr="007165EA" w:rsidRDefault="003E24DD">
      <w:pPr>
        <w:pStyle w:val="PKTpunkt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w </w:t>
      </w:r>
      <w:r w:rsidR="00751F6A" w:rsidRPr="007165EA">
        <w:rPr>
          <w:rFonts w:ascii="Times New Roman" w:eastAsia="Times New Roman" w:hAnsi="Times New Roman" w:cs="Times New Roman"/>
          <w:color w:val="000000"/>
          <w:szCs w:val="22"/>
        </w:rPr>
        <w:t xml:space="preserve">ust. 3 </w:t>
      </w:r>
      <w:r>
        <w:rPr>
          <w:rFonts w:ascii="Times New Roman" w:eastAsia="Times New Roman" w:hAnsi="Times New Roman" w:cs="Times New Roman"/>
          <w:color w:val="000000"/>
          <w:szCs w:val="22"/>
        </w:rPr>
        <w:t>wyraz „iloczyn” zastępuje się wyrazami „połowę iloczynu”;</w:t>
      </w:r>
    </w:p>
    <w:p w14:paraId="6AF31F54" w14:textId="1224103A" w:rsidR="003923B1" w:rsidRPr="007165EA" w:rsidRDefault="00E32558">
      <w:pPr>
        <w:pStyle w:val="PKTpunkt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Cs w:val="22"/>
        </w:rPr>
      </w:pPr>
      <w:r w:rsidRPr="007165EA">
        <w:rPr>
          <w:rFonts w:ascii="Times New Roman" w:eastAsia="Times New Roman" w:hAnsi="Times New Roman" w:cs="Times New Roman"/>
          <w:color w:val="000000"/>
          <w:szCs w:val="22"/>
        </w:rPr>
        <w:t>po ust. 3b dodaje się ust. 3c w brzmieniu</w:t>
      </w:r>
      <w:r w:rsidR="003923B1" w:rsidRPr="007165EA">
        <w:rPr>
          <w:rFonts w:ascii="Times New Roman" w:eastAsia="Times New Roman" w:hAnsi="Times New Roman" w:cs="Times New Roman"/>
          <w:color w:val="000000"/>
          <w:szCs w:val="22"/>
        </w:rPr>
        <w:t>:</w:t>
      </w:r>
    </w:p>
    <w:p w14:paraId="2CEF5E35" w14:textId="7D502A33" w:rsidR="00E34081" w:rsidRDefault="00E32558" w:rsidP="00E32558">
      <w:pPr>
        <w:pStyle w:val="ARTartustawynprozporzdzenia"/>
        <w:spacing w:before="0"/>
        <w:ind w:left="876" w:firstLine="0"/>
      </w:pPr>
      <w:r>
        <w:tab/>
        <w:t xml:space="preserve">„3c. </w:t>
      </w:r>
      <w:r w:rsidR="00E34081">
        <w:t>W przypadku, gdy odpady mają być magazynowane w miejscu magazynowania odpadów innym niż instalacja, obiekt budowlany lub jego część za największą masę odpadów, o której mowa w ust. 3</w:t>
      </w:r>
      <w:r w:rsidR="00390AE6">
        <w:t>,</w:t>
      </w:r>
      <w:r w:rsidR="00E34081">
        <w:t xml:space="preserve"> przyjmuje się </w:t>
      </w:r>
      <w:r w:rsidR="00570617">
        <w:t>masę wskazaną we wniosku, o którym mowa w art. 42 ust. 1 albo w art. 42 ust. 2.”</w:t>
      </w:r>
      <w:r w:rsidR="007165EA">
        <w:t>;</w:t>
      </w:r>
    </w:p>
    <w:p w14:paraId="1ED4B9E0" w14:textId="5B212E8F" w:rsidR="007165EA" w:rsidRPr="007165EA" w:rsidRDefault="007165EA">
      <w:pPr>
        <w:pStyle w:val="ARTartustawynprozporzdzenia"/>
        <w:numPr>
          <w:ilvl w:val="0"/>
          <w:numId w:val="22"/>
        </w:numPr>
        <w:spacing w:before="0"/>
      </w:pPr>
      <w:r>
        <w:t>w art. 194 ust. 1 po pkt 3a dodaje się pkt 3b w brzmieniu</w:t>
      </w:r>
      <w:r w:rsidRPr="007165EA">
        <w:t>:</w:t>
      </w:r>
    </w:p>
    <w:p w14:paraId="5A833F0E" w14:textId="398A3C5D" w:rsidR="007165EA" w:rsidRDefault="007165EA" w:rsidP="007165EA">
      <w:pPr>
        <w:pStyle w:val="ARTartustawynprozporzdzenia"/>
        <w:spacing w:before="0"/>
        <w:ind w:left="708" w:firstLine="0"/>
      </w:pPr>
      <w:r>
        <w:lastRenderedPageBreak/>
        <w:tab/>
        <w:t xml:space="preserve">„3b) magazynowanie </w:t>
      </w:r>
      <w:r w:rsidR="00390AE6">
        <w:t xml:space="preserve">odpadów </w:t>
      </w:r>
      <w:r>
        <w:t>w miejscu magazynowania odpadów innym niż instalacja, obiekt budowlany lub jego część</w:t>
      </w:r>
      <w:r w:rsidR="00390AE6">
        <w:t>,</w:t>
      </w:r>
      <w:r>
        <w:t xml:space="preserve"> w ilości przekraczającej największą masę odpadów wskazaną we wniosku, o którym mowa w art. 42 ust. 1 albo w art. 42 ust. 2.”.</w:t>
      </w:r>
    </w:p>
    <w:p w14:paraId="03547143" w14:textId="1030A1F9" w:rsidR="00AC627C" w:rsidRPr="00C37DED" w:rsidRDefault="00AC627C" w:rsidP="007C0957">
      <w:pPr>
        <w:pStyle w:val="ARTartustawynprozporzdzenia"/>
        <w:spacing w:before="0"/>
      </w:pPr>
      <w:bookmarkStart w:id="18" w:name="_Hlk104925827"/>
      <w:bookmarkEnd w:id="17"/>
      <w:r w:rsidRPr="00C37DED">
        <w:rPr>
          <w:rStyle w:val="Ppogrubienie"/>
        </w:rPr>
        <w:t xml:space="preserve">Art. </w:t>
      </w:r>
      <w:r w:rsidR="00D21477">
        <w:rPr>
          <w:rStyle w:val="Ppogrubienie"/>
        </w:rPr>
        <w:t>20</w:t>
      </w:r>
      <w:r w:rsidRPr="00C37DED">
        <w:rPr>
          <w:rStyle w:val="Ppogrubienie"/>
        </w:rPr>
        <w:t>.</w:t>
      </w:r>
      <w:r w:rsidRPr="00C37DED">
        <w:t xml:space="preserve"> </w:t>
      </w:r>
      <w:r w:rsidR="00D40838" w:rsidRPr="00C37DED">
        <w:t>Do postępowań administracyjnych</w:t>
      </w:r>
      <w:r w:rsidRPr="00C37DED">
        <w:t xml:space="preserve"> wszczętych i niezakończonych przed dniem wejścia w życie niniejszej ustawy </w:t>
      </w:r>
      <w:r w:rsidR="00D40838" w:rsidRPr="00C37DED">
        <w:t xml:space="preserve">wydaniem decyzji w pierwszej instancji </w:t>
      </w:r>
      <w:r w:rsidR="00D12D69" w:rsidRPr="00C37DED">
        <w:t xml:space="preserve">art. 127a § 1 ustawy zmienianej w art. 1 stosuje się w brzmieniu dotychczasowym i nie stosuje się </w:t>
      </w:r>
      <w:r w:rsidRPr="00C37DED">
        <w:t>art. 127 § 1a ustawy zmienianej w art. 1.</w:t>
      </w:r>
    </w:p>
    <w:p w14:paraId="5989BC0E" w14:textId="2EA2DE5A" w:rsidR="00AC627C" w:rsidRDefault="00AC627C" w:rsidP="007C0957">
      <w:pPr>
        <w:pStyle w:val="ARTartustawynprozporzdzenia"/>
        <w:spacing w:before="0"/>
      </w:pPr>
      <w:r w:rsidRPr="00C37DED">
        <w:rPr>
          <w:rStyle w:val="Ppogrubienie"/>
        </w:rPr>
        <w:t xml:space="preserve">Art. </w:t>
      </w:r>
      <w:r w:rsidR="00D21477">
        <w:rPr>
          <w:rStyle w:val="Ppogrubienie"/>
        </w:rPr>
        <w:t>21</w:t>
      </w:r>
      <w:r w:rsidRPr="00C37DED">
        <w:rPr>
          <w:rStyle w:val="Ppogrubienie"/>
        </w:rPr>
        <w:t>.</w:t>
      </w:r>
      <w:r w:rsidRPr="00C37DED">
        <w:t xml:space="preserve"> </w:t>
      </w:r>
      <w:r w:rsidR="00C75C8A" w:rsidRPr="00C37DED">
        <w:t>Do postępowań cywilnych</w:t>
      </w:r>
      <w:r w:rsidRPr="00C37DED">
        <w:t xml:space="preserve"> wszczętych i niezakończonych przed dniem wejścia w życie niniejszej ustawy </w:t>
      </w:r>
      <w:r w:rsidR="00307A41" w:rsidRPr="00C37DED">
        <w:t xml:space="preserve">stosuje się </w:t>
      </w:r>
      <w:r w:rsidRPr="00C37DED">
        <w:t xml:space="preserve">przepisy ustawy zmienianej w art. </w:t>
      </w:r>
      <w:r w:rsidR="00C75C8A" w:rsidRPr="00C37DED">
        <w:t>2</w:t>
      </w:r>
      <w:r w:rsidR="00307A41" w:rsidRPr="00C37DED">
        <w:t>,</w:t>
      </w:r>
      <w:r w:rsidRPr="00C37DED">
        <w:t xml:space="preserve"> w brzmieniu dotychczasowym, z wyjątkiem art. 61 § 3</w:t>
      </w:r>
      <w:r w:rsidR="00C206F7" w:rsidRPr="00C37DED">
        <w:t xml:space="preserve"> ustawy zmienianej w art. </w:t>
      </w:r>
      <w:r w:rsidR="00C75C8A" w:rsidRPr="00C37DED">
        <w:t>2</w:t>
      </w:r>
      <w:r w:rsidRPr="00C37DED">
        <w:t>, który stosuje się w brzmieniu nadanym niniejszą ustawą.</w:t>
      </w:r>
    </w:p>
    <w:p w14:paraId="0380B3C0" w14:textId="598AAD75" w:rsidR="009E3BC1" w:rsidRDefault="009E3BC1" w:rsidP="009E3BC1">
      <w:pPr>
        <w:pStyle w:val="ARTartustawynprozporzdzenia"/>
        <w:spacing w:before="0"/>
      </w:pPr>
      <w:r>
        <w:rPr>
          <w:rStyle w:val="Ppogrubienie"/>
        </w:rPr>
        <w:t>Art. 2</w:t>
      </w:r>
      <w:r w:rsidR="00D21477">
        <w:rPr>
          <w:rStyle w:val="Ppogrubienie"/>
        </w:rPr>
        <w:t>2</w:t>
      </w:r>
      <w:r>
        <w:rPr>
          <w:rStyle w:val="Ppogrubienie"/>
        </w:rPr>
        <w:t>.</w:t>
      </w:r>
      <w:r>
        <w:t xml:space="preserve"> Do postępowań w sprawie wydania pozwolenia na broń, prowadzonych na podstawie ustawy zmienianej w art. 12, wszczętych i niezakończonych przed dniem wejścia w życie niniejszej ustawy, stosuje się art. 10 ust. 1 oraz art. 15h w brzmieniu dotychczasowym, a art. 10 ust. 1a stosuje się w brzmieniu nadanym niniejszą ustawą.</w:t>
      </w:r>
    </w:p>
    <w:p w14:paraId="05E3ED7B" w14:textId="3E04C5B4" w:rsidR="009E3BC1" w:rsidRDefault="009E3BC1" w:rsidP="009E3BC1">
      <w:pPr>
        <w:pStyle w:val="ARTartustawynprozporzdzenia"/>
        <w:spacing w:before="0"/>
        <w:rPr>
          <w:rStyle w:val="Ppogrubienie"/>
        </w:rPr>
      </w:pPr>
      <w:r>
        <w:rPr>
          <w:rStyle w:val="Ppogrubienie"/>
        </w:rPr>
        <w:t>Art. 2</w:t>
      </w:r>
      <w:r w:rsidR="00D21477">
        <w:rPr>
          <w:rStyle w:val="Ppogrubienie"/>
        </w:rPr>
        <w:t>3</w:t>
      </w:r>
      <w:r>
        <w:rPr>
          <w:rStyle w:val="Ppogrubienie"/>
        </w:rPr>
        <w:t xml:space="preserve">. </w:t>
      </w:r>
      <w:r w:rsidRPr="00E11F28">
        <w:rPr>
          <w:rStyle w:val="Ppogrubienie"/>
          <w:b w:val="0"/>
          <w:bCs/>
        </w:rPr>
        <w:t xml:space="preserve">Do postępowań w </w:t>
      </w:r>
      <w:r>
        <w:rPr>
          <w:rStyle w:val="Ppogrubienie"/>
          <w:b w:val="0"/>
          <w:bCs/>
        </w:rPr>
        <w:t>sprawie</w:t>
      </w:r>
      <w:r w:rsidRPr="00E11F28">
        <w:rPr>
          <w:rStyle w:val="Ppogrubienie"/>
          <w:b w:val="0"/>
          <w:bCs/>
        </w:rPr>
        <w:t xml:space="preserve"> zatwierdzenia regulaminu strzelnicy,</w:t>
      </w:r>
      <w:r w:rsidRPr="00E11F28">
        <w:rPr>
          <w:b/>
          <w:bCs/>
        </w:rPr>
        <w:t xml:space="preserve"> </w:t>
      </w:r>
      <w:r w:rsidRPr="00E11F28">
        <w:rPr>
          <w:rStyle w:val="Ppogrubienie"/>
          <w:b w:val="0"/>
          <w:bCs/>
        </w:rPr>
        <w:t>prowadzonych na podstawie ustawy zmienianej w art. 1</w:t>
      </w:r>
      <w:r>
        <w:rPr>
          <w:rStyle w:val="Ppogrubienie"/>
          <w:b w:val="0"/>
          <w:bCs/>
        </w:rPr>
        <w:t>2</w:t>
      </w:r>
      <w:r w:rsidRPr="00E11F28">
        <w:rPr>
          <w:rStyle w:val="Ppogrubienie"/>
          <w:b w:val="0"/>
          <w:bCs/>
        </w:rPr>
        <w:t>, wszczętych i niezakończonych przed dniem wejścia w życie niniejszej ustawy stosuje się art. 47 ustawy zmienianej w art. 11 w brzmieniu dotychczasowym.</w:t>
      </w:r>
      <w:r>
        <w:rPr>
          <w:rStyle w:val="Ppogrubienie"/>
        </w:rPr>
        <w:t xml:space="preserve"> </w:t>
      </w:r>
    </w:p>
    <w:p w14:paraId="51EF29FD" w14:textId="15EC27A4" w:rsidR="00C37DED" w:rsidRDefault="00C37DED" w:rsidP="007C0957">
      <w:pPr>
        <w:pStyle w:val="ARTartustawynprozporzdzenia"/>
        <w:spacing w:before="0"/>
      </w:pPr>
      <w:r w:rsidRPr="009E3BC1">
        <w:rPr>
          <w:b/>
          <w:bCs/>
        </w:rPr>
        <w:t>Art. 2</w:t>
      </w:r>
      <w:r w:rsidR="00D21477">
        <w:rPr>
          <w:b/>
          <w:bCs/>
        </w:rPr>
        <w:t>4</w:t>
      </w:r>
      <w:r w:rsidRPr="009E3BC1">
        <w:rPr>
          <w:b/>
          <w:bCs/>
        </w:rPr>
        <w:t>.</w:t>
      </w:r>
      <w:r w:rsidRPr="009E3BC1">
        <w:t xml:space="preserve"> Do postępowań sądowoadministracyjnych wszczętych i niezakończonych przed dniem wejścia w życie </w:t>
      </w:r>
      <w:r w:rsidR="007A07C5" w:rsidRPr="009E3BC1">
        <w:t xml:space="preserve">niniejszej ustawy stosuje art. 54 § 2a ustawy zmienianej w art. </w:t>
      </w:r>
      <w:r w:rsidR="009E3BC1" w:rsidRPr="009E3BC1">
        <w:t>1</w:t>
      </w:r>
      <w:r w:rsidR="007A07C5" w:rsidRPr="009E3BC1">
        <w:t>3, w brzmieniu nadanym niniejszy ustawą, jeżeli organ za pośrednictwem którego wniesiono skargę nie przekazał jeszcze akt wojewódzkiemu sądowi administracyjnemu.</w:t>
      </w:r>
      <w:r w:rsidR="007A07C5">
        <w:t xml:space="preserve"> </w:t>
      </w:r>
    </w:p>
    <w:p w14:paraId="617D6787" w14:textId="293F4A6A" w:rsidR="00D371A3" w:rsidRDefault="00D371A3" w:rsidP="00D371A3">
      <w:pPr>
        <w:pStyle w:val="ARTartustawynprozporzdzenia"/>
        <w:spacing w:before="0"/>
      </w:pPr>
      <w:r>
        <w:rPr>
          <w:rStyle w:val="Ppogrubienie"/>
        </w:rPr>
        <w:t>Art. 2</w:t>
      </w:r>
      <w:r w:rsidR="00D21477">
        <w:rPr>
          <w:rStyle w:val="Ppogrubienie"/>
        </w:rPr>
        <w:t>5</w:t>
      </w:r>
      <w:r>
        <w:rPr>
          <w:rStyle w:val="Ppogrubienie"/>
        </w:rPr>
        <w:t>.</w:t>
      </w:r>
      <w:r>
        <w:t xml:space="preserve"> </w:t>
      </w:r>
      <w:r w:rsidR="00A63B02">
        <w:t xml:space="preserve">Do postępowań w </w:t>
      </w:r>
      <w:r w:rsidR="00F5161F">
        <w:t>sprawie</w:t>
      </w:r>
      <w:r w:rsidR="00A63B02">
        <w:t xml:space="preserve"> usunięcia </w:t>
      </w:r>
      <w:r w:rsidR="00A63B02" w:rsidRPr="00A63B02">
        <w:t>drzew lub krzewów, które rosną na nieruchomościach stanowiących własność osób fizycznych i są usuwane na cele niezwiązane z prowadzeniem działalności gospodarczej</w:t>
      </w:r>
      <w:r w:rsidR="00A63B02">
        <w:t>,</w:t>
      </w:r>
      <w:r>
        <w:t xml:space="preserve"> wszczętych i niezakończonych przed dniem wejścia w życie niniejszej ustawy stosuje się przepisy ustawy zmienianej w art. 1</w:t>
      </w:r>
      <w:r w:rsidR="009E3BC1">
        <w:t>4</w:t>
      </w:r>
      <w:r>
        <w:t>, w brzmieniu dotychczasowym.</w:t>
      </w:r>
    </w:p>
    <w:p w14:paraId="0E345CA9" w14:textId="074A7619" w:rsidR="00CB2D79" w:rsidRDefault="00CB2D79" w:rsidP="00CB2D79">
      <w:pPr>
        <w:pStyle w:val="ARTartustawynprozporzdzenia"/>
        <w:spacing w:before="0"/>
      </w:pPr>
      <w:r w:rsidRPr="00EE11CA">
        <w:rPr>
          <w:rStyle w:val="Ppogrubienie"/>
        </w:rPr>
        <w:t xml:space="preserve">Art. </w:t>
      </w:r>
      <w:r>
        <w:rPr>
          <w:rStyle w:val="Ppogrubienie"/>
        </w:rPr>
        <w:t>2</w:t>
      </w:r>
      <w:r w:rsidR="00D21477">
        <w:rPr>
          <w:rStyle w:val="Ppogrubienie"/>
        </w:rPr>
        <w:t>6</w:t>
      </w:r>
      <w:r w:rsidRPr="00EE11CA">
        <w:rPr>
          <w:rStyle w:val="Ppogrubienie"/>
        </w:rPr>
        <w:t>.</w:t>
      </w:r>
      <w:r w:rsidRPr="006E1011">
        <w:t xml:space="preserve"> </w:t>
      </w:r>
      <w:r>
        <w:t xml:space="preserve">Do </w:t>
      </w:r>
      <w:r w:rsidRPr="00231D1D">
        <w:t>postępowań w sprawie ustalenia lokalizacji inwestycji mieszkaniowej</w:t>
      </w:r>
      <w:r>
        <w:t>,</w:t>
      </w:r>
      <w:r w:rsidRPr="00231D1D">
        <w:t xml:space="preserve"> wszczętych na podstawie przepisów ustawy zmienianej w art. </w:t>
      </w:r>
      <w:r>
        <w:t>1</w:t>
      </w:r>
      <w:r w:rsidR="009E3BC1">
        <w:t>7</w:t>
      </w:r>
      <w:r>
        <w:t xml:space="preserve">, w brzmieniu dotychczasowym </w:t>
      </w:r>
      <w:r w:rsidRPr="00231D1D">
        <w:t xml:space="preserve">i niezakończonych przed dniem wejścia w życie </w:t>
      </w:r>
      <w:r>
        <w:t>art. 1</w:t>
      </w:r>
      <w:r w:rsidR="009E3BC1">
        <w:t>7</w:t>
      </w:r>
      <w:r>
        <w:t xml:space="preserve">, </w:t>
      </w:r>
      <w:r w:rsidRPr="00231D1D">
        <w:t>stosuje się przepisy dotychczasowe</w:t>
      </w:r>
      <w:r>
        <w:t>, z wyjątkiem przepisu art. 8 ust. 3 ustawy zmienianej w art. 1</w:t>
      </w:r>
      <w:r w:rsidR="009E3BC1">
        <w:t>7</w:t>
      </w:r>
      <w:r w:rsidR="00F5161F">
        <w:t>,</w:t>
      </w:r>
      <w:r>
        <w:t xml:space="preserve"> który stosuje się w brzmieniu nadanym niniejszą ustawą.</w:t>
      </w:r>
    </w:p>
    <w:p w14:paraId="6880B283" w14:textId="1F45BC7C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lastRenderedPageBreak/>
        <w:t xml:space="preserve">Art. </w:t>
      </w:r>
      <w:r w:rsidR="00B5220D">
        <w:rPr>
          <w:rStyle w:val="Ppogrubienie"/>
        </w:rPr>
        <w:t>2</w:t>
      </w:r>
      <w:r w:rsidR="00D21477">
        <w:rPr>
          <w:rStyle w:val="Ppogrubienie"/>
        </w:rPr>
        <w:t>7</w:t>
      </w:r>
      <w:r>
        <w:rPr>
          <w:rStyle w:val="Ppogrubienie"/>
        </w:rPr>
        <w:t>.</w:t>
      </w:r>
      <w:r>
        <w:t xml:space="preserve"> Z dniem wejścia w życie </w:t>
      </w:r>
      <w:r w:rsidR="00C206F7">
        <w:t xml:space="preserve">art. 37a ust. 4 pkt 4 ustawy zmienianej w </w:t>
      </w:r>
      <w:r>
        <w:t xml:space="preserve">art. </w:t>
      </w:r>
      <w:r w:rsidR="009E3BC1">
        <w:t>7</w:t>
      </w:r>
      <w:r w:rsidR="00C206F7">
        <w:t xml:space="preserve">, </w:t>
      </w:r>
      <w:r>
        <w:t xml:space="preserve">wygasają prawa </w:t>
      </w:r>
      <w:r w:rsidR="00C206F7">
        <w:t xml:space="preserve">pierwokupu gruntów </w:t>
      </w:r>
      <w:r>
        <w:t xml:space="preserve">przysługujące Skarbowi Państwa, reprezentowanemu przez Lasy Państwowe, o których mowa w </w:t>
      </w:r>
      <w:r w:rsidR="00C206F7">
        <w:t xml:space="preserve">tym przepisie. </w:t>
      </w:r>
    </w:p>
    <w:p w14:paraId="382C153D" w14:textId="683EE467" w:rsidR="00CB2D79" w:rsidRDefault="00CB2D79" w:rsidP="00CB2D79">
      <w:pPr>
        <w:pStyle w:val="ARTartustawynprozporzdzenia"/>
        <w:spacing w:before="0"/>
      </w:pPr>
      <w:r>
        <w:rPr>
          <w:b/>
          <w:bCs/>
        </w:rPr>
        <w:t>Art. 2</w:t>
      </w:r>
      <w:r w:rsidR="00D21477">
        <w:rPr>
          <w:b/>
          <w:bCs/>
        </w:rPr>
        <w:t>8</w:t>
      </w:r>
      <w:r>
        <w:rPr>
          <w:b/>
          <w:bCs/>
        </w:rPr>
        <w:t xml:space="preserve">. </w:t>
      </w:r>
      <w:r>
        <w:t>Do uchwał o lokalizacji inwestycji mieszkaniowej, które w dniu wejścia w życie art. 1</w:t>
      </w:r>
      <w:r w:rsidR="009E3BC1">
        <w:t>7</w:t>
      </w:r>
      <w:r>
        <w:t xml:space="preserve"> nie wygasły, przepis art. 8 ust. 3 ustawy zmienianej w art. 1</w:t>
      </w:r>
      <w:r w:rsidR="009E3BC1">
        <w:t>7</w:t>
      </w:r>
      <w:r>
        <w:t xml:space="preserve">, stosuje się w brzmieniu nadanym niniejszą ustawą. </w:t>
      </w:r>
    </w:p>
    <w:p w14:paraId="2C4D3A09" w14:textId="0B2D3B8C" w:rsidR="00AC627C" w:rsidRDefault="00AC627C" w:rsidP="007C0957">
      <w:pPr>
        <w:pStyle w:val="ARTartustawynprozporzdzenia"/>
        <w:spacing w:before="0"/>
      </w:pPr>
      <w:r>
        <w:rPr>
          <w:rStyle w:val="Ppogrubienie"/>
        </w:rPr>
        <w:t xml:space="preserve">Art. </w:t>
      </w:r>
      <w:r w:rsidR="007165EA">
        <w:rPr>
          <w:rStyle w:val="Ppogrubienie"/>
        </w:rPr>
        <w:t>2</w:t>
      </w:r>
      <w:r w:rsidR="00D21477">
        <w:rPr>
          <w:rStyle w:val="Ppogrubienie"/>
        </w:rPr>
        <w:t>9</w:t>
      </w:r>
      <w:r w:rsidR="003E5A79">
        <w:rPr>
          <w:rStyle w:val="Ppogrubienie"/>
        </w:rPr>
        <w:t>.</w:t>
      </w:r>
      <w:r>
        <w:t xml:space="preserve"> Ustawa wchodzi w życie po upływie 14 dni od dnia ogłoszenia z wyjątkiem:</w:t>
      </w:r>
    </w:p>
    <w:p w14:paraId="1BBEE62D" w14:textId="7F6A29E5" w:rsidR="00AC627C" w:rsidRDefault="00B547D5" w:rsidP="007C0957">
      <w:pPr>
        <w:pStyle w:val="PKTpunkt"/>
      </w:pPr>
      <w:r>
        <w:t>1</w:t>
      </w:r>
      <w:r w:rsidR="00AC627C">
        <w:t>)</w:t>
      </w:r>
      <w:r w:rsidR="00AC627C">
        <w:tab/>
      </w:r>
      <w:r w:rsidR="00FC79A1" w:rsidRPr="001D753D">
        <w:t>art. 1</w:t>
      </w:r>
      <w:r w:rsidR="00D21477">
        <w:t>2</w:t>
      </w:r>
      <w:r w:rsidR="00FC79A1" w:rsidRPr="001D753D">
        <w:t>,</w:t>
      </w:r>
      <w:r w:rsidR="00AC627C" w:rsidRPr="001D753D">
        <w:t xml:space="preserve"> któr</w:t>
      </w:r>
      <w:r w:rsidR="008B3E43">
        <w:t>y</w:t>
      </w:r>
      <w:r w:rsidR="00AC627C" w:rsidRPr="001D753D">
        <w:t xml:space="preserve"> wchodz</w:t>
      </w:r>
      <w:r w:rsidR="008B3E43">
        <w:t>i</w:t>
      </w:r>
      <w:r w:rsidR="00AC627C" w:rsidRPr="001D753D">
        <w:t xml:space="preserve"> w życie po upływie 3</w:t>
      </w:r>
      <w:r w:rsidR="00AC627C">
        <w:t xml:space="preserve"> miesięcy od dnia ogłoszenia niniejszej ustawy;</w:t>
      </w:r>
    </w:p>
    <w:p w14:paraId="05910E83" w14:textId="65DD1C56" w:rsidR="00AC627C" w:rsidRDefault="00B547D5" w:rsidP="007C0957">
      <w:pPr>
        <w:pStyle w:val="PKTpunkt"/>
      </w:pPr>
      <w:r>
        <w:t>2</w:t>
      </w:r>
      <w:r w:rsidR="00AC627C">
        <w:t>)</w:t>
      </w:r>
      <w:r w:rsidR="00AC627C">
        <w:tab/>
        <w:t>art. 5</w:t>
      </w:r>
      <w:r w:rsidR="002B41C3">
        <w:t>,</w:t>
      </w:r>
      <w:r w:rsidR="00912C16">
        <w:t xml:space="preserve"> art. </w:t>
      </w:r>
      <w:r w:rsidR="00D21477">
        <w:t>8</w:t>
      </w:r>
      <w:r w:rsidR="00912C16">
        <w:t>, art. 1</w:t>
      </w:r>
      <w:r w:rsidR="00D21477">
        <w:t>5</w:t>
      </w:r>
      <w:r w:rsidR="00912C16">
        <w:t xml:space="preserve"> i</w:t>
      </w:r>
      <w:r w:rsidR="00AC627C">
        <w:t xml:space="preserve"> art. </w:t>
      </w:r>
      <w:r w:rsidR="00912C16">
        <w:t>1</w:t>
      </w:r>
      <w:r w:rsidR="00D21477">
        <w:t>6</w:t>
      </w:r>
      <w:r w:rsidR="002B41C3">
        <w:t xml:space="preserve">, </w:t>
      </w:r>
      <w:r w:rsidR="00AC627C">
        <w:t>które wchodzą w życie z dniem 1 stycznia 2023 r.</w:t>
      </w:r>
    </w:p>
    <w:bookmarkEnd w:id="18"/>
    <w:p w14:paraId="410F7BA0" w14:textId="121E4BC9" w:rsidR="008727DF" w:rsidRDefault="008727DF" w:rsidP="007C0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0B6D" w14:textId="60193148" w:rsidR="002F2376" w:rsidRDefault="002F2376" w:rsidP="007C0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GoBack"/>
      <w:bookmarkEnd w:id="19"/>
    </w:p>
    <w:sectPr w:rsidR="002F23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6B46" w14:textId="77777777" w:rsidR="00D82422" w:rsidRDefault="00D82422" w:rsidP="00C9613D">
      <w:pPr>
        <w:spacing w:after="0" w:line="240" w:lineRule="auto"/>
      </w:pPr>
      <w:r>
        <w:separator/>
      </w:r>
    </w:p>
  </w:endnote>
  <w:endnote w:type="continuationSeparator" w:id="0">
    <w:p w14:paraId="59C01CB9" w14:textId="77777777" w:rsidR="00D82422" w:rsidRDefault="00D82422" w:rsidP="00C9613D">
      <w:pPr>
        <w:spacing w:after="0" w:line="240" w:lineRule="auto"/>
      </w:pPr>
      <w:r>
        <w:continuationSeparator/>
      </w:r>
    </w:p>
  </w:endnote>
  <w:endnote w:type="continuationNotice" w:id="1">
    <w:p w14:paraId="308FF07B" w14:textId="77777777" w:rsidR="00D82422" w:rsidRDefault="00D82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4144832"/>
      <w:docPartObj>
        <w:docPartGallery w:val="Page Numbers (Bottom of Page)"/>
        <w:docPartUnique/>
      </w:docPartObj>
    </w:sdtPr>
    <w:sdtEndPr/>
    <w:sdtContent>
      <w:p w14:paraId="6F1D15C9" w14:textId="21FBA299" w:rsidR="00A92678" w:rsidRPr="004A0CB9" w:rsidRDefault="00A92678">
        <w:pPr>
          <w:pStyle w:val="Stopka"/>
          <w:jc w:val="center"/>
          <w:rPr>
            <w:rFonts w:ascii="Times New Roman" w:hAnsi="Times New Roman" w:cs="Times New Roman"/>
          </w:rPr>
        </w:pPr>
        <w:r w:rsidRPr="004A0CB9">
          <w:rPr>
            <w:rFonts w:ascii="Times New Roman" w:hAnsi="Times New Roman" w:cs="Times New Roman"/>
          </w:rPr>
          <w:fldChar w:fldCharType="begin"/>
        </w:r>
        <w:r w:rsidRPr="004A0CB9">
          <w:rPr>
            <w:rFonts w:ascii="Times New Roman" w:hAnsi="Times New Roman" w:cs="Times New Roman"/>
          </w:rPr>
          <w:instrText>PAGE   \* MERGEFORMAT</w:instrText>
        </w:r>
        <w:r w:rsidRPr="004A0CB9">
          <w:rPr>
            <w:rFonts w:ascii="Times New Roman" w:hAnsi="Times New Roman" w:cs="Times New Roman"/>
          </w:rPr>
          <w:fldChar w:fldCharType="separate"/>
        </w:r>
        <w:r w:rsidR="00CA1C6C">
          <w:rPr>
            <w:rFonts w:ascii="Times New Roman" w:hAnsi="Times New Roman" w:cs="Times New Roman"/>
            <w:noProof/>
          </w:rPr>
          <w:t>15</w:t>
        </w:r>
        <w:r w:rsidRPr="004A0CB9">
          <w:rPr>
            <w:rFonts w:ascii="Times New Roman" w:hAnsi="Times New Roman" w:cs="Times New Roman"/>
          </w:rPr>
          <w:fldChar w:fldCharType="end"/>
        </w:r>
      </w:p>
    </w:sdtContent>
  </w:sdt>
  <w:p w14:paraId="49D9A386" w14:textId="77777777" w:rsidR="00A92678" w:rsidRPr="004A0CB9" w:rsidRDefault="00A9267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64C6D" w14:textId="77777777" w:rsidR="00D82422" w:rsidRDefault="00D82422" w:rsidP="00C9613D">
      <w:pPr>
        <w:spacing w:after="0" w:line="240" w:lineRule="auto"/>
      </w:pPr>
      <w:r>
        <w:separator/>
      </w:r>
    </w:p>
  </w:footnote>
  <w:footnote w:type="continuationSeparator" w:id="0">
    <w:p w14:paraId="20C3068E" w14:textId="77777777" w:rsidR="00D82422" w:rsidRDefault="00D82422" w:rsidP="00C9613D">
      <w:pPr>
        <w:spacing w:after="0" w:line="240" w:lineRule="auto"/>
      </w:pPr>
      <w:r>
        <w:continuationSeparator/>
      </w:r>
    </w:p>
  </w:footnote>
  <w:footnote w:type="continuationNotice" w:id="1">
    <w:p w14:paraId="3302DC49" w14:textId="77777777" w:rsidR="00D82422" w:rsidRDefault="00D82422">
      <w:pPr>
        <w:spacing w:after="0" w:line="240" w:lineRule="auto"/>
      </w:pPr>
    </w:p>
  </w:footnote>
  <w:footnote w:id="2">
    <w:p w14:paraId="2CE2431D" w14:textId="09CF3D95" w:rsidR="00A92678" w:rsidRDefault="00A92678" w:rsidP="00AC627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ustawę z dnia 14 czerwca 1960 r. – Kodeks postępowania administracyjnego, </w:t>
      </w:r>
      <w:r w:rsidR="00B31533">
        <w:t xml:space="preserve">ustawę z dnia 17 listopada 1964 r. – Kodeks postępowania cywilnego, </w:t>
      </w:r>
      <w:r w:rsidR="00214B44" w:rsidRPr="00214B44">
        <w:t>ustaw</w:t>
      </w:r>
      <w:r w:rsidR="00214B44">
        <w:t>ę</w:t>
      </w:r>
      <w:r w:rsidR="00214B44" w:rsidRPr="00214B44">
        <w:t xml:space="preserve"> z dnia 20 maja 1971 r. – Kodeks wykroczeń</w:t>
      </w:r>
      <w:r w:rsidR="00214B44">
        <w:t>,</w:t>
      </w:r>
      <w:r w:rsidR="00214B44" w:rsidRPr="00214B44">
        <w:t xml:space="preserve"> </w:t>
      </w:r>
      <w:r w:rsidR="00B31533">
        <w:t xml:space="preserve">ustawę z dnia 26 października 1982 r. o wychowaniu w trzeźwości i przeciwdziałaniu alkoholizmowi, ustawę z dnia 28 lipca 1983 r. o podatku od spadków i darowizn, </w:t>
      </w:r>
      <w:r w:rsidR="008C7C1E" w:rsidRPr="008C7C1E">
        <w:t>ustaw</w:t>
      </w:r>
      <w:r w:rsidR="008C7C1E">
        <w:t>ę</w:t>
      </w:r>
      <w:r w:rsidR="008C7C1E" w:rsidRPr="008C7C1E">
        <w:t xml:space="preserve"> z dnia 17 maja 1989 r. – Prawo geodezyjne i kartograficzne</w:t>
      </w:r>
      <w:r w:rsidR="008C7C1E">
        <w:t>,</w:t>
      </w:r>
      <w:r w:rsidR="008C7C1E" w:rsidRPr="008C7C1E">
        <w:t xml:space="preserve"> </w:t>
      </w:r>
      <w:r w:rsidR="00B31533">
        <w:t xml:space="preserve">ustawę z dnia 28 września 1991 r. o lasach, ustawę z dnia 7 października 1992 r. o regionalnych izbach obrachunkowych, </w:t>
      </w:r>
      <w:r w:rsidR="00B31533" w:rsidRPr="00E3035A">
        <w:t>usta</w:t>
      </w:r>
      <w:r w:rsidR="00B31533">
        <w:t>wę</w:t>
      </w:r>
      <w:r w:rsidR="00B31533" w:rsidRPr="00E3035A">
        <w:t xml:space="preserve"> z dnia 13 października 1995 r. – Prawo łowieckie</w:t>
      </w:r>
      <w:r w:rsidR="00B31533">
        <w:t xml:space="preserve">, ustawę z dnia 22 grudnia 1995 r. o wydawaniu Monitora Sądowego i Gospodarczego, </w:t>
      </w:r>
      <w:r w:rsidR="00B31533" w:rsidRPr="00E3035A">
        <w:t>ustaw</w:t>
      </w:r>
      <w:r w:rsidR="00B31533">
        <w:t>ę</w:t>
      </w:r>
      <w:r w:rsidR="00B31533" w:rsidRPr="00E3035A">
        <w:t xml:space="preserve"> z dnia 21 maja 1999 r. o broni i amunicji</w:t>
      </w:r>
      <w:r w:rsidR="00B31533">
        <w:t xml:space="preserve">, </w:t>
      </w:r>
      <w:r>
        <w:t xml:space="preserve">ustawę z dnia 30 sierpnia 2002 r. – Prawo o postępowaniu przed sądami administracyjnymi, </w:t>
      </w:r>
      <w:r w:rsidR="00B31533" w:rsidRPr="00E3035A">
        <w:t>ustaw</w:t>
      </w:r>
      <w:r w:rsidR="00B31533">
        <w:t>ę</w:t>
      </w:r>
      <w:r w:rsidR="00B31533" w:rsidRPr="00E3035A">
        <w:t xml:space="preserve"> z dnia 16 kwietnia 2004 r. o ochronie przyrody</w:t>
      </w:r>
      <w:r w:rsidR="00B31533">
        <w:t xml:space="preserve">, </w:t>
      </w:r>
      <w:r w:rsidR="00B31533" w:rsidRPr="0059655D">
        <w:t>ustaw</w:t>
      </w:r>
      <w:r w:rsidR="00B31533">
        <w:t>ę</w:t>
      </w:r>
      <w:r w:rsidR="00B31533" w:rsidRPr="0059655D">
        <w:t xml:space="preserve"> z dnia 10 kwietnia 1997 r. – Prawo energetyczne</w:t>
      </w:r>
      <w:r w:rsidR="00B31533">
        <w:t xml:space="preserve">, ustawę z dnia 27 sierpnia 2009 r. o finansach publicznych, </w:t>
      </w:r>
      <w:r w:rsidR="00B31533" w:rsidRPr="00B03ACC">
        <w:t>ustaw</w:t>
      </w:r>
      <w:r w:rsidR="00B31533">
        <w:t>ę</w:t>
      </w:r>
      <w:r w:rsidR="00B31533" w:rsidRPr="00B03ACC">
        <w:t xml:space="preserve"> z dnia 14 grudnia 2012 r. o odpadach</w:t>
      </w:r>
      <w:r w:rsidR="00B31533">
        <w:t xml:space="preserve">, </w:t>
      </w:r>
      <w:r>
        <w:t xml:space="preserve">ustawę z dnia 6 marca 2018 r. – Prawo przedsiębiorców, </w:t>
      </w:r>
      <w:r w:rsidR="00B31533" w:rsidRPr="00FF7532">
        <w:t>ustaw</w:t>
      </w:r>
      <w:r w:rsidR="00B31533">
        <w:t>ę</w:t>
      </w:r>
      <w:r w:rsidR="00B31533" w:rsidRPr="00FF7532">
        <w:t xml:space="preserve"> z dnia 5 lipca 2018 r. o ułatwieniach w przygotowaniu i realizacji inwestycji mieszkaniowych oraz inwestycji towarzyszących</w:t>
      </w:r>
      <w:r w:rsidR="00B31533">
        <w:t xml:space="preserve"> oraz </w:t>
      </w:r>
      <w:r>
        <w:t>ustawę z dnia 31 marca 2020 r. o zmianie ustawy o szczególnych rozwiązaniach związanych z zapobieganiem, przeciwdziałaniem i zwalczaniem COVID-19, innych chorób zakaźnych oraz wywołanych nimi sytuacji kryzysowych oraz niektórych innych ustaw.</w:t>
      </w:r>
    </w:p>
  </w:footnote>
  <w:footnote w:id="3">
    <w:p w14:paraId="6CE279C2" w14:textId="5CF53D26" w:rsidR="00932645" w:rsidRPr="00E3035A" w:rsidRDefault="00932645" w:rsidP="00932645">
      <w:pPr>
        <w:pStyle w:val="ODNONIKtreodnonika"/>
        <w:rPr>
          <w:rStyle w:val="Odwoanieprzypisudolnego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E3035A">
        <w:rPr>
          <w:rStyle w:val="Odwoanieprzypisudolnego"/>
        </w:rPr>
        <w:t xml:space="preserve"> </w:t>
      </w:r>
      <w:r>
        <w:t xml:space="preserve">  </w:t>
      </w:r>
      <w:r w:rsidRPr="00E3035A">
        <w:t>Zmiany tekstu jednolitego wymienionej ustawy zostały ogłoszone w Dz. U. z 20</w:t>
      </w:r>
      <w:r>
        <w:t>21</w:t>
      </w:r>
      <w:r w:rsidRPr="00E3035A">
        <w:t xml:space="preserve"> r.</w:t>
      </w:r>
      <w:r>
        <w:t xml:space="preserve"> poz. </w:t>
      </w:r>
      <w:r w:rsidRPr="00E3035A">
        <w:t>2052, 2262, 2270, 2289 i 2328 oraz z 2022 r. poz. 1, 366</w:t>
      </w:r>
      <w:r>
        <w:t>,</w:t>
      </w:r>
      <w:r w:rsidRPr="00E3035A">
        <w:t xml:space="preserve"> 480</w:t>
      </w:r>
      <w:r>
        <w:t>, 830</w:t>
      </w:r>
      <w:r w:rsidR="008916E6">
        <w:t>,</w:t>
      </w:r>
      <w:r>
        <w:t xml:space="preserve"> 974</w:t>
      </w:r>
      <w:r w:rsidR="008916E6">
        <w:t xml:space="preserve">, 1098, 1301, </w:t>
      </w:r>
      <w:r w:rsidR="0095696D">
        <w:t xml:space="preserve">1371, </w:t>
      </w:r>
      <w:r w:rsidR="008916E6">
        <w:t>1692</w:t>
      </w:r>
      <w:r w:rsidR="00830514">
        <w:t xml:space="preserve"> i</w:t>
      </w:r>
      <w:r w:rsidR="008916E6">
        <w:t xml:space="preserve"> 1967</w:t>
      </w:r>
      <w:r>
        <w:t>.</w:t>
      </w:r>
    </w:p>
  </w:footnote>
  <w:footnote w:id="4">
    <w:p w14:paraId="41A7F348" w14:textId="72A4A6D1" w:rsidR="00A92678" w:rsidRDefault="00A92678" w:rsidP="00AC627C">
      <w:pPr>
        <w:pStyle w:val="ODNONIKtreodnonika"/>
      </w:pPr>
      <w:r>
        <w:rPr>
          <w:rStyle w:val="Odwoanieprzypisudolnego"/>
        </w:rPr>
        <w:footnoteRef/>
      </w:r>
      <w:r>
        <w:t xml:space="preserve"> Zmiany wymienionej ustawy zostały ogłoszone w Dz. U. z 2020 r. poz. 695, 1086, 1262, 1478, 1747, 2157 i 2255, z 2021 r. poz. 1535 i 2368 oraz z 2022 r. poz. 64</w:t>
      </w:r>
      <w:r w:rsidR="00A477D3">
        <w:t xml:space="preserve">, </w:t>
      </w:r>
      <w:r>
        <w:t>202</w:t>
      </w:r>
      <w:r w:rsidR="00A477D3">
        <w:t>, 1561, 1692, 1730 i 1967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0CE3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02C00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F49AC"/>
    <w:multiLevelType w:val="hybridMultilevel"/>
    <w:tmpl w:val="0FE884F8"/>
    <w:lvl w:ilvl="0" w:tplc="E35A842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E2C4DA5"/>
    <w:multiLevelType w:val="hybridMultilevel"/>
    <w:tmpl w:val="3C3C3340"/>
    <w:lvl w:ilvl="0" w:tplc="8C66C50A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AE0A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6E2"/>
    <w:multiLevelType w:val="hybridMultilevel"/>
    <w:tmpl w:val="9A621120"/>
    <w:lvl w:ilvl="0" w:tplc="FFFFFFFF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63BD"/>
    <w:multiLevelType w:val="hybridMultilevel"/>
    <w:tmpl w:val="5B24DE88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63C1"/>
    <w:multiLevelType w:val="hybridMultilevel"/>
    <w:tmpl w:val="8990DFF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B4CED"/>
    <w:multiLevelType w:val="hybridMultilevel"/>
    <w:tmpl w:val="DF042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838BD"/>
    <w:multiLevelType w:val="hybridMultilevel"/>
    <w:tmpl w:val="21ECC1B6"/>
    <w:lvl w:ilvl="0" w:tplc="FFFFFFFF">
      <w:start w:val="1"/>
      <w:numFmt w:val="decimal"/>
      <w:lvlText w:val="%1)"/>
      <w:lvlJc w:val="left"/>
      <w:pPr>
        <w:ind w:left="1740" w:hanging="360"/>
      </w:p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2FB31550"/>
    <w:multiLevelType w:val="hybridMultilevel"/>
    <w:tmpl w:val="8A0A4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13827"/>
    <w:multiLevelType w:val="hybridMultilevel"/>
    <w:tmpl w:val="44DC414C"/>
    <w:lvl w:ilvl="0" w:tplc="FFFFFFFF">
      <w:start w:val="1"/>
      <w:numFmt w:val="lowerLetter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2423F8C"/>
    <w:multiLevelType w:val="hybridMultilevel"/>
    <w:tmpl w:val="078CECF2"/>
    <w:lvl w:ilvl="0" w:tplc="3C42FDE6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08D8"/>
    <w:multiLevelType w:val="hybridMultilevel"/>
    <w:tmpl w:val="9A621120"/>
    <w:lvl w:ilvl="0" w:tplc="FFFFFFFF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49CB"/>
    <w:multiLevelType w:val="hybridMultilevel"/>
    <w:tmpl w:val="51047C92"/>
    <w:lvl w:ilvl="0" w:tplc="88268B86">
      <w:start w:val="1"/>
      <w:numFmt w:val="bullet"/>
      <w:lvlText w:val="-"/>
      <w:lvlJc w:val="left"/>
      <w:pPr>
        <w:ind w:left="2165" w:hanging="360"/>
      </w:pPr>
      <w:rPr>
        <w:rFonts w:ascii="Helvetica" w:hAnsi="Helvetica" w:hint="default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4" w15:restartNumberingAfterBreak="0">
    <w:nsid w:val="3A0A4457"/>
    <w:multiLevelType w:val="hybridMultilevel"/>
    <w:tmpl w:val="9B720CE8"/>
    <w:lvl w:ilvl="0" w:tplc="4906CA7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A31238D"/>
    <w:multiLevelType w:val="hybridMultilevel"/>
    <w:tmpl w:val="DDB4FCF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6A70"/>
    <w:multiLevelType w:val="hybridMultilevel"/>
    <w:tmpl w:val="21ECC1B6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3AAC1275"/>
    <w:multiLevelType w:val="hybridMultilevel"/>
    <w:tmpl w:val="9A621120"/>
    <w:lvl w:ilvl="0" w:tplc="FFFFFFFF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36E50"/>
    <w:multiLevelType w:val="hybridMultilevel"/>
    <w:tmpl w:val="A42C9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4325"/>
    <w:multiLevelType w:val="hybridMultilevel"/>
    <w:tmpl w:val="44DC414C"/>
    <w:lvl w:ilvl="0" w:tplc="FFFFFFFF">
      <w:start w:val="1"/>
      <w:numFmt w:val="lowerLetter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22559BB"/>
    <w:multiLevelType w:val="hybridMultilevel"/>
    <w:tmpl w:val="88FCC72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BFC0D570">
      <w:numFmt w:val="bullet"/>
      <w:lvlText w:val="•"/>
      <w:lvlJc w:val="left"/>
      <w:pPr>
        <w:ind w:left="2745" w:hanging="705"/>
      </w:pPr>
      <w:rPr>
        <w:rFonts w:ascii="Times New Roman" w:eastAsia="Arial Unicode MS" w:hAnsi="Times New Roman" w:cs="Times New Roman" w:hint="default"/>
      </w:rPr>
    </w:lvl>
    <w:lvl w:ilvl="3" w:tplc="10C017E4">
      <w:start w:val="1"/>
      <w:numFmt w:val="decimal"/>
      <w:lvlText w:val="%4)"/>
      <w:lvlJc w:val="left"/>
      <w:pPr>
        <w:ind w:left="297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DE46830"/>
    <w:multiLevelType w:val="hybridMultilevel"/>
    <w:tmpl w:val="44DC414C"/>
    <w:lvl w:ilvl="0" w:tplc="FFFFFFFF">
      <w:start w:val="1"/>
      <w:numFmt w:val="lowerLetter"/>
      <w:lvlText w:val="%1)"/>
      <w:lvlJc w:val="left"/>
      <w:pPr>
        <w:ind w:left="870" w:hanging="360"/>
      </w:p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5A35709D"/>
    <w:multiLevelType w:val="hybridMultilevel"/>
    <w:tmpl w:val="69822CC6"/>
    <w:lvl w:ilvl="0" w:tplc="08503C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CD69BA"/>
    <w:multiLevelType w:val="hybridMultilevel"/>
    <w:tmpl w:val="9D569C86"/>
    <w:lvl w:ilvl="0" w:tplc="5D4C98E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4" w15:restartNumberingAfterBreak="0">
    <w:nsid w:val="61F122F5"/>
    <w:multiLevelType w:val="hybridMultilevel"/>
    <w:tmpl w:val="AA8C44CE"/>
    <w:lvl w:ilvl="0" w:tplc="FFFFFFFF">
      <w:start w:val="1"/>
      <w:numFmt w:val="decimal"/>
      <w:lvlText w:val="%1)"/>
      <w:lvlJc w:val="left"/>
      <w:pPr>
        <w:ind w:left="18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8" w:hanging="360"/>
      </w:pPr>
    </w:lvl>
    <w:lvl w:ilvl="2" w:tplc="FFFFFFFF" w:tentative="1">
      <w:start w:val="1"/>
      <w:numFmt w:val="lowerRoman"/>
      <w:lvlText w:val="%3."/>
      <w:lvlJc w:val="right"/>
      <w:pPr>
        <w:ind w:left="3298" w:hanging="180"/>
      </w:pPr>
    </w:lvl>
    <w:lvl w:ilvl="3" w:tplc="FFFFFFFF" w:tentative="1">
      <w:start w:val="1"/>
      <w:numFmt w:val="decimal"/>
      <w:lvlText w:val="%4."/>
      <w:lvlJc w:val="left"/>
      <w:pPr>
        <w:ind w:left="4018" w:hanging="360"/>
      </w:pPr>
    </w:lvl>
    <w:lvl w:ilvl="4" w:tplc="FFFFFFFF" w:tentative="1">
      <w:start w:val="1"/>
      <w:numFmt w:val="lowerLetter"/>
      <w:lvlText w:val="%5."/>
      <w:lvlJc w:val="left"/>
      <w:pPr>
        <w:ind w:left="4738" w:hanging="360"/>
      </w:pPr>
    </w:lvl>
    <w:lvl w:ilvl="5" w:tplc="FFFFFFFF" w:tentative="1">
      <w:start w:val="1"/>
      <w:numFmt w:val="lowerRoman"/>
      <w:lvlText w:val="%6."/>
      <w:lvlJc w:val="right"/>
      <w:pPr>
        <w:ind w:left="5458" w:hanging="180"/>
      </w:pPr>
    </w:lvl>
    <w:lvl w:ilvl="6" w:tplc="FFFFFFFF" w:tentative="1">
      <w:start w:val="1"/>
      <w:numFmt w:val="decimal"/>
      <w:lvlText w:val="%7."/>
      <w:lvlJc w:val="left"/>
      <w:pPr>
        <w:ind w:left="6178" w:hanging="360"/>
      </w:pPr>
    </w:lvl>
    <w:lvl w:ilvl="7" w:tplc="FFFFFFFF" w:tentative="1">
      <w:start w:val="1"/>
      <w:numFmt w:val="lowerLetter"/>
      <w:lvlText w:val="%8."/>
      <w:lvlJc w:val="left"/>
      <w:pPr>
        <w:ind w:left="6898" w:hanging="360"/>
      </w:pPr>
    </w:lvl>
    <w:lvl w:ilvl="8" w:tplc="FFFFFFFF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25" w15:restartNumberingAfterBreak="0">
    <w:nsid w:val="691C1A68"/>
    <w:multiLevelType w:val="hybridMultilevel"/>
    <w:tmpl w:val="9A621120"/>
    <w:lvl w:ilvl="0" w:tplc="FFFFFFFF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954F9"/>
    <w:multiLevelType w:val="hybridMultilevel"/>
    <w:tmpl w:val="FA3A4FAC"/>
    <w:lvl w:ilvl="0" w:tplc="D0201C60">
      <w:start w:val="1"/>
      <w:numFmt w:val="decimal"/>
      <w:pStyle w:val="AAPKT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5C6F1C"/>
    <w:multiLevelType w:val="hybridMultilevel"/>
    <w:tmpl w:val="0B0E834E"/>
    <w:lvl w:ilvl="0" w:tplc="7D5A6BC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DD533A5"/>
    <w:multiLevelType w:val="hybridMultilevel"/>
    <w:tmpl w:val="14A6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346DF"/>
    <w:multiLevelType w:val="hybridMultilevel"/>
    <w:tmpl w:val="3584605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25"/>
  </w:num>
  <w:num w:numId="11">
    <w:abstractNumId w:val="17"/>
  </w:num>
  <w:num w:numId="12">
    <w:abstractNumId w:val="29"/>
  </w:num>
  <w:num w:numId="13">
    <w:abstractNumId w:val="21"/>
  </w:num>
  <w:num w:numId="14">
    <w:abstractNumId w:val="23"/>
  </w:num>
  <w:num w:numId="15">
    <w:abstractNumId w:val="10"/>
  </w:num>
  <w:num w:numId="16">
    <w:abstractNumId w:val="24"/>
  </w:num>
  <w:num w:numId="17">
    <w:abstractNumId w:val="16"/>
  </w:num>
  <w:num w:numId="18">
    <w:abstractNumId w:val="13"/>
  </w:num>
  <w:num w:numId="19">
    <w:abstractNumId w:val="8"/>
  </w:num>
  <w:num w:numId="20">
    <w:abstractNumId w:val="4"/>
  </w:num>
  <w:num w:numId="21">
    <w:abstractNumId w:val="5"/>
  </w:num>
  <w:num w:numId="22">
    <w:abstractNumId w:val="12"/>
  </w:num>
  <w:num w:numId="23">
    <w:abstractNumId w:val="19"/>
  </w:num>
  <w:num w:numId="24">
    <w:abstractNumId w:val="14"/>
  </w:num>
  <w:num w:numId="25">
    <w:abstractNumId w:val="27"/>
  </w:num>
  <w:num w:numId="26">
    <w:abstractNumId w:val="22"/>
  </w:num>
  <w:num w:numId="27">
    <w:abstractNumId w:val="2"/>
  </w:num>
  <w:num w:numId="28">
    <w:abstractNumId w:val="7"/>
  </w:num>
  <w:num w:numId="29">
    <w:abstractNumId w:val="18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C0"/>
    <w:rsid w:val="00000B5B"/>
    <w:rsid w:val="00000FC2"/>
    <w:rsid w:val="000026A9"/>
    <w:rsid w:val="0000315D"/>
    <w:rsid w:val="00003A11"/>
    <w:rsid w:val="00005B6F"/>
    <w:rsid w:val="000068A5"/>
    <w:rsid w:val="0000696D"/>
    <w:rsid w:val="00012BD9"/>
    <w:rsid w:val="00013DE5"/>
    <w:rsid w:val="00013EA8"/>
    <w:rsid w:val="00014B3C"/>
    <w:rsid w:val="00020F9E"/>
    <w:rsid w:val="00021AA5"/>
    <w:rsid w:val="00022C1F"/>
    <w:rsid w:val="000236EE"/>
    <w:rsid w:val="00025862"/>
    <w:rsid w:val="0003574C"/>
    <w:rsid w:val="00036792"/>
    <w:rsid w:val="000445EE"/>
    <w:rsid w:val="000467C7"/>
    <w:rsid w:val="00046913"/>
    <w:rsid w:val="000470AC"/>
    <w:rsid w:val="0004764E"/>
    <w:rsid w:val="000507F2"/>
    <w:rsid w:val="000548D6"/>
    <w:rsid w:val="00054DA5"/>
    <w:rsid w:val="00055774"/>
    <w:rsid w:val="0005675A"/>
    <w:rsid w:val="000643AB"/>
    <w:rsid w:val="00065BA0"/>
    <w:rsid w:val="00067D12"/>
    <w:rsid w:val="000766CD"/>
    <w:rsid w:val="00082120"/>
    <w:rsid w:val="00083D4E"/>
    <w:rsid w:val="000841EC"/>
    <w:rsid w:val="00086DA4"/>
    <w:rsid w:val="00086EC2"/>
    <w:rsid w:val="00087F60"/>
    <w:rsid w:val="0009214B"/>
    <w:rsid w:val="000925D8"/>
    <w:rsid w:val="000927C0"/>
    <w:rsid w:val="00092BE7"/>
    <w:rsid w:val="00092CE1"/>
    <w:rsid w:val="00094664"/>
    <w:rsid w:val="0009584E"/>
    <w:rsid w:val="000A0AF2"/>
    <w:rsid w:val="000A16FC"/>
    <w:rsid w:val="000A2DC4"/>
    <w:rsid w:val="000A3628"/>
    <w:rsid w:val="000A3670"/>
    <w:rsid w:val="000A7933"/>
    <w:rsid w:val="000B2682"/>
    <w:rsid w:val="000B39BC"/>
    <w:rsid w:val="000B599C"/>
    <w:rsid w:val="000C1838"/>
    <w:rsid w:val="000C1B4F"/>
    <w:rsid w:val="000C2601"/>
    <w:rsid w:val="000C2AD2"/>
    <w:rsid w:val="000C7514"/>
    <w:rsid w:val="000D0CB8"/>
    <w:rsid w:val="000D11C4"/>
    <w:rsid w:val="000D1F8B"/>
    <w:rsid w:val="000D5038"/>
    <w:rsid w:val="000E001C"/>
    <w:rsid w:val="000E14DF"/>
    <w:rsid w:val="000E2E99"/>
    <w:rsid w:val="000E3671"/>
    <w:rsid w:val="000E3C73"/>
    <w:rsid w:val="000E45F8"/>
    <w:rsid w:val="000F144C"/>
    <w:rsid w:val="000F3DCA"/>
    <w:rsid w:val="000F7188"/>
    <w:rsid w:val="001001C8"/>
    <w:rsid w:val="00102802"/>
    <w:rsid w:val="001033D3"/>
    <w:rsid w:val="0010585F"/>
    <w:rsid w:val="00106B5F"/>
    <w:rsid w:val="00107E19"/>
    <w:rsid w:val="0011023C"/>
    <w:rsid w:val="001106A1"/>
    <w:rsid w:val="001125DA"/>
    <w:rsid w:val="00114777"/>
    <w:rsid w:val="00114859"/>
    <w:rsid w:val="00116D03"/>
    <w:rsid w:val="00117E9E"/>
    <w:rsid w:val="00117F32"/>
    <w:rsid w:val="00121DED"/>
    <w:rsid w:val="001223E1"/>
    <w:rsid w:val="00123BE8"/>
    <w:rsid w:val="0012444A"/>
    <w:rsid w:val="001245FB"/>
    <w:rsid w:val="001251E8"/>
    <w:rsid w:val="00126807"/>
    <w:rsid w:val="001269CF"/>
    <w:rsid w:val="00126ADD"/>
    <w:rsid w:val="00126F53"/>
    <w:rsid w:val="00127173"/>
    <w:rsid w:val="00130566"/>
    <w:rsid w:val="0013248C"/>
    <w:rsid w:val="00136759"/>
    <w:rsid w:val="0013675E"/>
    <w:rsid w:val="00137AAC"/>
    <w:rsid w:val="00141903"/>
    <w:rsid w:val="00143C21"/>
    <w:rsid w:val="00143F64"/>
    <w:rsid w:val="001478E7"/>
    <w:rsid w:val="00153324"/>
    <w:rsid w:val="00156695"/>
    <w:rsid w:val="001568ED"/>
    <w:rsid w:val="00156C5E"/>
    <w:rsid w:val="00156CE7"/>
    <w:rsid w:val="0016017B"/>
    <w:rsid w:val="0016166E"/>
    <w:rsid w:val="00161CED"/>
    <w:rsid w:val="001620DB"/>
    <w:rsid w:val="00162FBD"/>
    <w:rsid w:val="00163978"/>
    <w:rsid w:val="00163ED3"/>
    <w:rsid w:val="0017021C"/>
    <w:rsid w:val="001725EB"/>
    <w:rsid w:val="001728C0"/>
    <w:rsid w:val="001750CD"/>
    <w:rsid w:val="00175A73"/>
    <w:rsid w:val="00177A80"/>
    <w:rsid w:val="0018109B"/>
    <w:rsid w:val="00183A63"/>
    <w:rsid w:val="00186A15"/>
    <w:rsid w:val="001911FD"/>
    <w:rsid w:val="00192EE8"/>
    <w:rsid w:val="001964E6"/>
    <w:rsid w:val="001A0CF6"/>
    <w:rsid w:val="001A13DB"/>
    <w:rsid w:val="001A310E"/>
    <w:rsid w:val="001B0555"/>
    <w:rsid w:val="001B0855"/>
    <w:rsid w:val="001B6FBD"/>
    <w:rsid w:val="001B7494"/>
    <w:rsid w:val="001C2233"/>
    <w:rsid w:val="001C2C88"/>
    <w:rsid w:val="001C3712"/>
    <w:rsid w:val="001C5C27"/>
    <w:rsid w:val="001C69C8"/>
    <w:rsid w:val="001D1418"/>
    <w:rsid w:val="001D1B20"/>
    <w:rsid w:val="001D5278"/>
    <w:rsid w:val="001D5483"/>
    <w:rsid w:val="001D65E8"/>
    <w:rsid w:val="001D753D"/>
    <w:rsid w:val="001E009B"/>
    <w:rsid w:val="001E182E"/>
    <w:rsid w:val="001E4350"/>
    <w:rsid w:val="001E79DE"/>
    <w:rsid w:val="001E7FE1"/>
    <w:rsid w:val="001F117F"/>
    <w:rsid w:val="001F1711"/>
    <w:rsid w:val="001F1A6C"/>
    <w:rsid w:val="001F2F0F"/>
    <w:rsid w:val="001F3D72"/>
    <w:rsid w:val="001F4C63"/>
    <w:rsid w:val="001F5DC5"/>
    <w:rsid w:val="001F6012"/>
    <w:rsid w:val="001F65AD"/>
    <w:rsid w:val="0020199D"/>
    <w:rsid w:val="00205D39"/>
    <w:rsid w:val="00206F03"/>
    <w:rsid w:val="0020773D"/>
    <w:rsid w:val="00207BA4"/>
    <w:rsid w:val="00210274"/>
    <w:rsid w:val="00210282"/>
    <w:rsid w:val="00210BE0"/>
    <w:rsid w:val="00214B44"/>
    <w:rsid w:val="00215D26"/>
    <w:rsid w:val="00216D03"/>
    <w:rsid w:val="00220F23"/>
    <w:rsid w:val="00222359"/>
    <w:rsid w:val="00224B5C"/>
    <w:rsid w:val="0022583F"/>
    <w:rsid w:val="00226406"/>
    <w:rsid w:val="00231D7F"/>
    <w:rsid w:val="0023238D"/>
    <w:rsid w:val="002328DE"/>
    <w:rsid w:val="00232A4F"/>
    <w:rsid w:val="00234063"/>
    <w:rsid w:val="00234AA1"/>
    <w:rsid w:val="00237A8F"/>
    <w:rsid w:val="00241D2D"/>
    <w:rsid w:val="00246BE4"/>
    <w:rsid w:val="00247C5F"/>
    <w:rsid w:val="002518B4"/>
    <w:rsid w:val="00251E51"/>
    <w:rsid w:val="00254103"/>
    <w:rsid w:val="002572C9"/>
    <w:rsid w:val="00262086"/>
    <w:rsid w:val="00264055"/>
    <w:rsid w:val="0026426F"/>
    <w:rsid w:val="00265735"/>
    <w:rsid w:val="0026580D"/>
    <w:rsid w:val="00265A07"/>
    <w:rsid w:val="0026601E"/>
    <w:rsid w:val="0026784D"/>
    <w:rsid w:val="00270C05"/>
    <w:rsid w:val="00270D58"/>
    <w:rsid w:val="00270EE8"/>
    <w:rsid w:val="00271DAF"/>
    <w:rsid w:val="00273393"/>
    <w:rsid w:val="00273433"/>
    <w:rsid w:val="00276370"/>
    <w:rsid w:val="00281A0D"/>
    <w:rsid w:val="002857A5"/>
    <w:rsid w:val="0028601E"/>
    <w:rsid w:val="00293A5F"/>
    <w:rsid w:val="00293C52"/>
    <w:rsid w:val="00297E5A"/>
    <w:rsid w:val="002A0B62"/>
    <w:rsid w:val="002A1497"/>
    <w:rsid w:val="002A3809"/>
    <w:rsid w:val="002A4B06"/>
    <w:rsid w:val="002A5F8E"/>
    <w:rsid w:val="002A6F21"/>
    <w:rsid w:val="002B3B0F"/>
    <w:rsid w:val="002B41C3"/>
    <w:rsid w:val="002B6D36"/>
    <w:rsid w:val="002C0D81"/>
    <w:rsid w:val="002C2462"/>
    <w:rsid w:val="002C2D93"/>
    <w:rsid w:val="002C34F5"/>
    <w:rsid w:val="002C5475"/>
    <w:rsid w:val="002C6C36"/>
    <w:rsid w:val="002C73E5"/>
    <w:rsid w:val="002D26C7"/>
    <w:rsid w:val="002D3485"/>
    <w:rsid w:val="002D3996"/>
    <w:rsid w:val="002D530F"/>
    <w:rsid w:val="002D5F56"/>
    <w:rsid w:val="002D631B"/>
    <w:rsid w:val="002D698D"/>
    <w:rsid w:val="002E406E"/>
    <w:rsid w:val="002E4484"/>
    <w:rsid w:val="002E50DF"/>
    <w:rsid w:val="002E5587"/>
    <w:rsid w:val="002E7158"/>
    <w:rsid w:val="002F0A0D"/>
    <w:rsid w:val="002F1ED4"/>
    <w:rsid w:val="002F2376"/>
    <w:rsid w:val="002F38FD"/>
    <w:rsid w:val="002F41D7"/>
    <w:rsid w:val="002F4F0E"/>
    <w:rsid w:val="00302A53"/>
    <w:rsid w:val="003034AF"/>
    <w:rsid w:val="00303FAE"/>
    <w:rsid w:val="00304967"/>
    <w:rsid w:val="00307A41"/>
    <w:rsid w:val="003101BB"/>
    <w:rsid w:val="00310909"/>
    <w:rsid w:val="00311B68"/>
    <w:rsid w:val="00312E8A"/>
    <w:rsid w:val="00312FD5"/>
    <w:rsid w:val="00314213"/>
    <w:rsid w:val="00315A26"/>
    <w:rsid w:val="00316445"/>
    <w:rsid w:val="00316646"/>
    <w:rsid w:val="00320F79"/>
    <w:rsid w:val="003226D3"/>
    <w:rsid w:val="003227C2"/>
    <w:rsid w:val="003242AC"/>
    <w:rsid w:val="00324837"/>
    <w:rsid w:val="00326D67"/>
    <w:rsid w:val="00331154"/>
    <w:rsid w:val="00331BFF"/>
    <w:rsid w:val="00332310"/>
    <w:rsid w:val="0033238F"/>
    <w:rsid w:val="00333996"/>
    <w:rsid w:val="00335A5F"/>
    <w:rsid w:val="00342C62"/>
    <w:rsid w:val="003430FD"/>
    <w:rsid w:val="00344644"/>
    <w:rsid w:val="00345027"/>
    <w:rsid w:val="003467D3"/>
    <w:rsid w:val="00350465"/>
    <w:rsid w:val="003507D1"/>
    <w:rsid w:val="00353472"/>
    <w:rsid w:val="00353DB8"/>
    <w:rsid w:val="003550D3"/>
    <w:rsid w:val="00355F12"/>
    <w:rsid w:val="00357624"/>
    <w:rsid w:val="003635A0"/>
    <w:rsid w:val="00365073"/>
    <w:rsid w:val="00366F45"/>
    <w:rsid w:val="00374564"/>
    <w:rsid w:val="00380A93"/>
    <w:rsid w:val="0038283B"/>
    <w:rsid w:val="00384293"/>
    <w:rsid w:val="0038556C"/>
    <w:rsid w:val="00386C98"/>
    <w:rsid w:val="00386D52"/>
    <w:rsid w:val="00390AE6"/>
    <w:rsid w:val="0039179E"/>
    <w:rsid w:val="00392288"/>
    <w:rsid w:val="003923B1"/>
    <w:rsid w:val="00393800"/>
    <w:rsid w:val="00395989"/>
    <w:rsid w:val="003966D4"/>
    <w:rsid w:val="003A348A"/>
    <w:rsid w:val="003A4833"/>
    <w:rsid w:val="003A6136"/>
    <w:rsid w:val="003A7467"/>
    <w:rsid w:val="003B005B"/>
    <w:rsid w:val="003B1807"/>
    <w:rsid w:val="003B49DD"/>
    <w:rsid w:val="003B5B08"/>
    <w:rsid w:val="003C0D81"/>
    <w:rsid w:val="003C1CD8"/>
    <w:rsid w:val="003C2D45"/>
    <w:rsid w:val="003C3D8F"/>
    <w:rsid w:val="003C4327"/>
    <w:rsid w:val="003C4339"/>
    <w:rsid w:val="003C6EE0"/>
    <w:rsid w:val="003D22EE"/>
    <w:rsid w:val="003D36D8"/>
    <w:rsid w:val="003D3797"/>
    <w:rsid w:val="003D617F"/>
    <w:rsid w:val="003D6832"/>
    <w:rsid w:val="003D7FB3"/>
    <w:rsid w:val="003E11A6"/>
    <w:rsid w:val="003E24DD"/>
    <w:rsid w:val="003E36B4"/>
    <w:rsid w:val="003E3F53"/>
    <w:rsid w:val="003E4264"/>
    <w:rsid w:val="003E5A79"/>
    <w:rsid w:val="003E69A9"/>
    <w:rsid w:val="003F0A5E"/>
    <w:rsid w:val="003F24F2"/>
    <w:rsid w:val="003F4649"/>
    <w:rsid w:val="003F5585"/>
    <w:rsid w:val="00403271"/>
    <w:rsid w:val="00405B13"/>
    <w:rsid w:val="00405D24"/>
    <w:rsid w:val="00405F34"/>
    <w:rsid w:val="00407510"/>
    <w:rsid w:val="004103AB"/>
    <w:rsid w:val="00410DF5"/>
    <w:rsid w:val="004115A9"/>
    <w:rsid w:val="00411A9F"/>
    <w:rsid w:val="00412B92"/>
    <w:rsid w:val="0041401D"/>
    <w:rsid w:val="00414F6F"/>
    <w:rsid w:val="0041597E"/>
    <w:rsid w:val="00417A84"/>
    <w:rsid w:val="00421B64"/>
    <w:rsid w:val="004256F7"/>
    <w:rsid w:val="0042572E"/>
    <w:rsid w:val="00425818"/>
    <w:rsid w:val="00431188"/>
    <w:rsid w:val="004315F9"/>
    <w:rsid w:val="00431665"/>
    <w:rsid w:val="00431750"/>
    <w:rsid w:val="004349E8"/>
    <w:rsid w:val="00436188"/>
    <w:rsid w:val="004364B3"/>
    <w:rsid w:val="00440539"/>
    <w:rsid w:val="0044168A"/>
    <w:rsid w:val="00443A02"/>
    <w:rsid w:val="004457E5"/>
    <w:rsid w:val="00445F95"/>
    <w:rsid w:val="00447FC9"/>
    <w:rsid w:val="004506B8"/>
    <w:rsid w:val="00452A76"/>
    <w:rsid w:val="004576BE"/>
    <w:rsid w:val="004603D9"/>
    <w:rsid w:val="004607D9"/>
    <w:rsid w:val="00460AA7"/>
    <w:rsid w:val="00463F64"/>
    <w:rsid w:val="004642E6"/>
    <w:rsid w:val="00465D14"/>
    <w:rsid w:val="0046602D"/>
    <w:rsid w:val="00466B6D"/>
    <w:rsid w:val="00466EC3"/>
    <w:rsid w:val="00470CBE"/>
    <w:rsid w:val="004765C2"/>
    <w:rsid w:val="00476794"/>
    <w:rsid w:val="004768C8"/>
    <w:rsid w:val="0047757E"/>
    <w:rsid w:val="004809F2"/>
    <w:rsid w:val="0048168E"/>
    <w:rsid w:val="00482C9A"/>
    <w:rsid w:val="00483CD3"/>
    <w:rsid w:val="00483DF0"/>
    <w:rsid w:val="0048638B"/>
    <w:rsid w:val="00487782"/>
    <w:rsid w:val="004878A6"/>
    <w:rsid w:val="00490A13"/>
    <w:rsid w:val="0049141C"/>
    <w:rsid w:val="004923D2"/>
    <w:rsid w:val="00494139"/>
    <w:rsid w:val="0049500B"/>
    <w:rsid w:val="00495CDB"/>
    <w:rsid w:val="004A0CB9"/>
    <w:rsid w:val="004A0DA5"/>
    <w:rsid w:val="004A2426"/>
    <w:rsid w:val="004A4130"/>
    <w:rsid w:val="004A5B27"/>
    <w:rsid w:val="004A618F"/>
    <w:rsid w:val="004B184B"/>
    <w:rsid w:val="004B1BC2"/>
    <w:rsid w:val="004B2791"/>
    <w:rsid w:val="004B2CF2"/>
    <w:rsid w:val="004B3E30"/>
    <w:rsid w:val="004B420E"/>
    <w:rsid w:val="004C10B5"/>
    <w:rsid w:val="004C2D13"/>
    <w:rsid w:val="004C3318"/>
    <w:rsid w:val="004C377E"/>
    <w:rsid w:val="004C4D59"/>
    <w:rsid w:val="004C695D"/>
    <w:rsid w:val="004C6B32"/>
    <w:rsid w:val="004D1CFE"/>
    <w:rsid w:val="004E1037"/>
    <w:rsid w:val="004E1902"/>
    <w:rsid w:val="004E4655"/>
    <w:rsid w:val="004E685D"/>
    <w:rsid w:val="004E6BCE"/>
    <w:rsid w:val="004F0C5B"/>
    <w:rsid w:val="004F4983"/>
    <w:rsid w:val="004F615A"/>
    <w:rsid w:val="004F6B1F"/>
    <w:rsid w:val="004F766A"/>
    <w:rsid w:val="00500AC3"/>
    <w:rsid w:val="0050328E"/>
    <w:rsid w:val="00503625"/>
    <w:rsid w:val="00503648"/>
    <w:rsid w:val="0050615F"/>
    <w:rsid w:val="0050796E"/>
    <w:rsid w:val="0051150C"/>
    <w:rsid w:val="005116F9"/>
    <w:rsid w:val="005130C9"/>
    <w:rsid w:val="00516DF3"/>
    <w:rsid w:val="0052172F"/>
    <w:rsid w:val="0052345B"/>
    <w:rsid w:val="005259D1"/>
    <w:rsid w:val="0052604E"/>
    <w:rsid w:val="0053104D"/>
    <w:rsid w:val="00533477"/>
    <w:rsid w:val="00535084"/>
    <w:rsid w:val="005350F3"/>
    <w:rsid w:val="00535AE9"/>
    <w:rsid w:val="00535F33"/>
    <w:rsid w:val="005364A1"/>
    <w:rsid w:val="005373A7"/>
    <w:rsid w:val="00541885"/>
    <w:rsid w:val="00541F6D"/>
    <w:rsid w:val="00542550"/>
    <w:rsid w:val="00542855"/>
    <w:rsid w:val="005443F6"/>
    <w:rsid w:val="00544F4A"/>
    <w:rsid w:val="00545861"/>
    <w:rsid w:val="0054590F"/>
    <w:rsid w:val="00545AB8"/>
    <w:rsid w:val="00545D72"/>
    <w:rsid w:val="005465C8"/>
    <w:rsid w:val="00550413"/>
    <w:rsid w:val="00551280"/>
    <w:rsid w:val="00551B1E"/>
    <w:rsid w:val="00552C1B"/>
    <w:rsid w:val="005602FA"/>
    <w:rsid w:val="00560E15"/>
    <w:rsid w:val="00562FAC"/>
    <w:rsid w:val="00565A5E"/>
    <w:rsid w:val="00565A9A"/>
    <w:rsid w:val="00565E37"/>
    <w:rsid w:val="00566983"/>
    <w:rsid w:val="00566E40"/>
    <w:rsid w:val="00570617"/>
    <w:rsid w:val="00570AA5"/>
    <w:rsid w:val="00570B68"/>
    <w:rsid w:val="00571612"/>
    <w:rsid w:val="00571FCB"/>
    <w:rsid w:val="005725BD"/>
    <w:rsid w:val="00573678"/>
    <w:rsid w:val="005739E5"/>
    <w:rsid w:val="00574D63"/>
    <w:rsid w:val="00580147"/>
    <w:rsid w:val="00583495"/>
    <w:rsid w:val="0058485D"/>
    <w:rsid w:val="005863B5"/>
    <w:rsid w:val="005868C0"/>
    <w:rsid w:val="00587E02"/>
    <w:rsid w:val="00590CD1"/>
    <w:rsid w:val="00591A82"/>
    <w:rsid w:val="00592553"/>
    <w:rsid w:val="0059288F"/>
    <w:rsid w:val="00592BA7"/>
    <w:rsid w:val="00594C8E"/>
    <w:rsid w:val="00595A2D"/>
    <w:rsid w:val="005964B5"/>
    <w:rsid w:val="0059655D"/>
    <w:rsid w:val="00597411"/>
    <w:rsid w:val="0059741A"/>
    <w:rsid w:val="005A2397"/>
    <w:rsid w:val="005A2C5A"/>
    <w:rsid w:val="005A5888"/>
    <w:rsid w:val="005A5A85"/>
    <w:rsid w:val="005B03E6"/>
    <w:rsid w:val="005B1077"/>
    <w:rsid w:val="005B3E65"/>
    <w:rsid w:val="005B58B4"/>
    <w:rsid w:val="005B6A2B"/>
    <w:rsid w:val="005C18AB"/>
    <w:rsid w:val="005C4E1F"/>
    <w:rsid w:val="005C52AA"/>
    <w:rsid w:val="005C60DA"/>
    <w:rsid w:val="005C79B6"/>
    <w:rsid w:val="005D00EB"/>
    <w:rsid w:val="005D0E4B"/>
    <w:rsid w:val="005D177C"/>
    <w:rsid w:val="005D4B82"/>
    <w:rsid w:val="005D56D1"/>
    <w:rsid w:val="005D776C"/>
    <w:rsid w:val="005D78FE"/>
    <w:rsid w:val="005E191C"/>
    <w:rsid w:val="005E265E"/>
    <w:rsid w:val="005E26D9"/>
    <w:rsid w:val="005E2825"/>
    <w:rsid w:val="005E4B42"/>
    <w:rsid w:val="005F203B"/>
    <w:rsid w:val="005F2422"/>
    <w:rsid w:val="005F3F31"/>
    <w:rsid w:val="005F595F"/>
    <w:rsid w:val="005F59DA"/>
    <w:rsid w:val="005F79E8"/>
    <w:rsid w:val="00603FBD"/>
    <w:rsid w:val="00604297"/>
    <w:rsid w:val="00604442"/>
    <w:rsid w:val="0060642F"/>
    <w:rsid w:val="006078EB"/>
    <w:rsid w:val="00607DF7"/>
    <w:rsid w:val="0061117C"/>
    <w:rsid w:val="00611D77"/>
    <w:rsid w:val="00621D1F"/>
    <w:rsid w:val="00621D49"/>
    <w:rsid w:val="00623287"/>
    <w:rsid w:val="00623CBD"/>
    <w:rsid w:val="00633BBF"/>
    <w:rsid w:val="00633F39"/>
    <w:rsid w:val="00634B8A"/>
    <w:rsid w:val="00637284"/>
    <w:rsid w:val="006400CA"/>
    <w:rsid w:val="00642156"/>
    <w:rsid w:val="00643448"/>
    <w:rsid w:val="00644577"/>
    <w:rsid w:val="00654068"/>
    <w:rsid w:val="0065543A"/>
    <w:rsid w:val="00655D3E"/>
    <w:rsid w:val="006578F2"/>
    <w:rsid w:val="0066317E"/>
    <w:rsid w:val="00665950"/>
    <w:rsid w:val="00665B8D"/>
    <w:rsid w:val="006677D1"/>
    <w:rsid w:val="0067187E"/>
    <w:rsid w:val="00671EDC"/>
    <w:rsid w:val="006734C3"/>
    <w:rsid w:val="00674BEF"/>
    <w:rsid w:val="00676FD3"/>
    <w:rsid w:val="00680654"/>
    <w:rsid w:val="00680B6F"/>
    <w:rsid w:val="00681980"/>
    <w:rsid w:val="0068256F"/>
    <w:rsid w:val="00683746"/>
    <w:rsid w:val="00683D21"/>
    <w:rsid w:val="006857C5"/>
    <w:rsid w:val="00686756"/>
    <w:rsid w:val="006868A4"/>
    <w:rsid w:val="00691947"/>
    <w:rsid w:val="00691E5A"/>
    <w:rsid w:val="00692956"/>
    <w:rsid w:val="00692E4D"/>
    <w:rsid w:val="0069425A"/>
    <w:rsid w:val="00695A8E"/>
    <w:rsid w:val="006A2609"/>
    <w:rsid w:val="006A3296"/>
    <w:rsid w:val="006A3F45"/>
    <w:rsid w:val="006A5BF3"/>
    <w:rsid w:val="006A60C8"/>
    <w:rsid w:val="006B08BE"/>
    <w:rsid w:val="006B0E2B"/>
    <w:rsid w:val="006B42F4"/>
    <w:rsid w:val="006B5254"/>
    <w:rsid w:val="006B5783"/>
    <w:rsid w:val="006C1D7A"/>
    <w:rsid w:val="006C3F33"/>
    <w:rsid w:val="006C659B"/>
    <w:rsid w:val="006C66D8"/>
    <w:rsid w:val="006D3E09"/>
    <w:rsid w:val="006D43E4"/>
    <w:rsid w:val="006E1011"/>
    <w:rsid w:val="006E3D54"/>
    <w:rsid w:val="006E4717"/>
    <w:rsid w:val="006E6145"/>
    <w:rsid w:val="006E728D"/>
    <w:rsid w:val="006E7904"/>
    <w:rsid w:val="006F1757"/>
    <w:rsid w:val="006F20FD"/>
    <w:rsid w:val="006F22AB"/>
    <w:rsid w:val="006F7484"/>
    <w:rsid w:val="00704D3C"/>
    <w:rsid w:val="00705326"/>
    <w:rsid w:val="0071129C"/>
    <w:rsid w:val="007149A0"/>
    <w:rsid w:val="00715266"/>
    <w:rsid w:val="007165EA"/>
    <w:rsid w:val="00716F58"/>
    <w:rsid w:val="007178F8"/>
    <w:rsid w:val="00717C30"/>
    <w:rsid w:val="007207E9"/>
    <w:rsid w:val="007248C3"/>
    <w:rsid w:val="0072560F"/>
    <w:rsid w:val="00725717"/>
    <w:rsid w:val="00727374"/>
    <w:rsid w:val="00732352"/>
    <w:rsid w:val="007334FB"/>
    <w:rsid w:val="00733902"/>
    <w:rsid w:val="00733C49"/>
    <w:rsid w:val="00734D2B"/>
    <w:rsid w:val="0073644C"/>
    <w:rsid w:val="00736500"/>
    <w:rsid w:val="00744955"/>
    <w:rsid w:val="00747174"/>
    <w:rsid w:val="00750A82"/>
    <w:rsid w:val="00751F6A"/>
    <w:rsid w:val="00755F34"/>
    <w:rsid w:val="007561F2"/>
    <w:rsid w:val="00756383"/>
    <w:rsid w:val="00756573"/>
    <w:rsid w:val="00760C20"/>
    <w:rsid w:val="0076189B"/>
    <w:rsid w:val="007633DD"/>
    <w:rsid w:val="007639FA"/>
    <w:rsid w:val="00763FC1"/>
    <w:rsid w:val="0076774F"/>
    <w:rsid w:val="0077116B"/>
    <w:rsid w:val="007726A4"/>
    <w:rsid w:val="0077392D"/>
    <w:rsid w:val="0077552F"/>
    <w:rsid w:val="00775A07"/>
    <w:rsid w:val="00781353"/>
    <w:rsid w:val="00781FAE"/>
    <w:rsid w:val="00783A5B"/>
    <w:rsid w:val="00784193"/>
    <w:rsid w:val="0078584F"/>
    <w:rsid w:val="007858E0"/>
    <w:rsid w:val="00785A05"/>
    <w:rsid w:val="00790741"/>
    <w:rsid w:val="00793C95"/>
    <w:rsid w:val="007948A8"/>
    <w:rsid w:val="007951D6"/>
    <w:rsid w:val="007969DE"/>
    <w:rsid w:val="00796AFA"/>
    <w:rsid w:val="00796B18"/>
    <w:rsid w:val="00797069"/>
    <w:rsid w:val="00797706"/>
    <w:rsid w:val="007A07C5"/>
    <w:rsid w:val="007A55C6"/>
    <w:rsid w:val="007B0D74"/>
    <w:rsid w:val="007B28A7"/>
    <w:rsid w:val="007B30A9"/>
    <w:rsid w:val="007B4B17"/>
    <w:rsid w:val="007B69CF"/>
    <w:rsid w:val="007B7A2A"/>
    <w:rsid w:val="007C05A3"/>
    <w:rsid w:val="007C08E4"/>
    <w:rsid w:val="007C0957"/>
    <w:rsid w:val="007C2247"/>
    <w:rsid w:val="007C31D1"/>
    <w:rsid w:val="007C402A"/>
    <w:rsid w:val="007C4081"/>
    <w:rsid w:val="007C4CCE"/>
    <w:rsid w:val="007C6509"/>
    <w:rsid w:val="007C74F8"/>
    <w:rsid w:val="007D11EF"/>
    <w:rsid w:val="007D2394"/>
    <w:rsid w:val="007D33A4"/>
    <w:rsid w:val="007D3931"/>
    <w:rsid w:val="007D6264"/>
    <w:rsid w:val="007D72A7"/>
    <w:rsid w:val="007D7888"/>
    <w:rsid w:val="007E1C63"/>
    <w:rsid w:val="007E257C"/>
    <w:rsid w:val="007E371D"/>
    <w:rsid w:val="007E4B11"/>
    <w:rsid w:val="007E6EC9"/>
    <w:rsid w:val="007F0180"/>
    <w:rsid w:val="007F2860"/>
    <w:rsid w:val="007F30C1"/>
    <w:rsid w:val="007F538E"/>
    <w:rsid w:val="00800F23"/>
    <w:rsid w:val="00803602"/>
    <w:rsid w:val="0081022A"/>
    <w:rsid w:val="00811ADA"/>
    <w:rsid w:val="00813BAA"/>
    <w:rsid w:val="00814C7C"/>
    <w:rsid w:val="00814CF1"/>
    <w:rsid w:val="00821BB5"/>
    <w:rsid w:val="0082364F"/>
    <w:rsid w:val="00825FDC"/>
    <w:rsid w:val="008268C7"/>
    <w:rsid w:val="00827444"/>
    <w:rsid w:val="00830514"/>
    <w:rsid w:val="008328AB"/>
    <w:rsid w:val="00834509"/>
    <w:rsid w:val="00835516"/>
    <w:rsid w:val="00835889"/>
    <w:rsid w:val="00841A71"/>
    <w:rsid w:val="00841F71"/>
    <w:rsid w:val="00841FE8"/>
    <w:rsid w:val="008425C3"/>
    <w:rsid w:val="00844ACC"/>
    <w:rsid w:val="00847145"/>
    <w:rsid w:val="008536AF"/>
    <w:rsid w:val="00854608"/>
    <w:rsid w:val="008571AE"/>
    <w:rsid w:val="008627CF"/>
    <w:rsid w:val="00862C0B"/>
    <w:rsid w:val="0086307C"/>
    <w:rsid w:val="00863434"/>
    <w:rsid w:val="00863886"/>
    <w:rsid w:val="008677E8"/>
    <w:rsid w:val="00871207"/>
    <w:rsid w:val="008727DF"/>
    <w:rsid w:val="00875EC5"/>
    <w:rsid w:val="0088057E"/>
    <w:rsid w:val="008819EE"/>
    <w:rsid w:val="00883E04"/>
    <w:rsid w:val="00885249"/>
    <w:rsid w:val="00887A05"/>
    <w:rsid w:val="00890F8C"/>
    <w:rsid w:val="008916E6"/>
    <w:rsid w:val="0089335E"/>
    <w:rsid w:val="00895EBA"/>
    <w:rsid w:val="00896981"/>
    <w:rsid w:val="008A085B"/>
    <w:rsid w:val="008A20E7"/>
    <w:rsid w:val="008A2226"/>
    <w:rsid w:val="008A2675"/>
    <w:rsid w:val="008A2884"/>
    <w:rsid w:val="008A46F5"/>
    <w:rsid w:val="008A59C1"/>
    <w:rsid w:val="008B1C8A"/>
    <w:rsid w:val="008B20F7"/>
    <w:rsid w:val="008B3E43"/>
    <w:rsid w:val="008B63ED"/>
    <w:rsid w:val="008B70F1"/>
    <w:rsid w:val="008C1E40"/>
    <w:rsid w:val="008C49E3"/>
    <w:rsid w:val="008C4BCD"/>
    <w:rsid w:val="008C52AC"/>
    <w:rsid w:val="008C7C1E"/>
    <w:rsid w:val="008D551A"/>
    <w:rsid w:val="008D6CD8"/>
    <w:rsid w:val="008E0A9E"/>
    <w:rsid w:val="008E1508"/>
    <w:rsid w:val="008E1C7D"/>
    <w:rsid w:val="008E24D7"/>
    <w:rsid w:val="008E2C26"/>
    <w:rsid w:val="008E3750"/>
    <w:rsid w:val="008E3A67"/>
    <w:rsid w:val="008E518A"/>
    <w:rsid w:val="008E764B"/>
    <w:rsid w:val="008F3563"/>
    <w:rsid w:val="008F37C0"/>
    <w:rsid w:val="008F381C"/>
    <w:rsid w:val="008F4FCA"/>
    <w:rsid w:val="008F525C"/>
    <w:rsid w:val="008F6BA3"/>
    <w:rsid w:val="0090124B"/>
    <w:rsid w:val="00907CE0"/>
    <w:rsid w:val="009103B2"/>
    <w:rsid w:val="00910D9D"/>
    <w:rsid w:val="00911501"/>
    <w:rsid w:val="00912C16"/>
    <w:rsid w:val="00914FAD"/>
    <w:rsid w:val="00920B28"/>
    <w:rsid w:val="00921B8C"/>
    <w:rsid w:val="009234FE"/>
    <w:rsid w:val="00924190"/>
    <w:rsid w:val="00925706"/>
    <w:rsid w:val="00931D9E"/>
    <w:rsid w:val="00931DC8"/>
    <w:rsid w:val="00932645"/>
    <w:rsid w:val="00933D55"/>
    <w:rsid w:val="00936D74"/>
    <w:rsid w:val="00944016"/>
    <w:rsid w:val="00944614"/>
    <w:rsid w:val="00951368"/>
    <w:rsid w:val="00952230"/>
    <w:rsid w:val="00954B5C"/>
    <w:rsid w:val="0095696D"/>
    <w:rsid w:val="00957C02"/>
    <w:rsid w:val="00957F89"/>
    <w:rsid w:val="0096037F"/>
    <w:rsid w:val="00961AA6"/>
    <w:rsid w:val="00962FFD"/>
    <w:rsid w:val="00964CB8"/>
    <w:rsid w:val="00966275"/>
    <w:rsid w:val="009679FA"/>
    <w:rsid w:val="00967B8A"/>
    <w:rsid w:val="0097071A"/>
    <w:rsid w:val="00973569"/>
    <w:rsid w:val="009738BF"/>
    <w:rsid w:val="009738C9"/>
    <w:rsid w:val="009750F5"/>
    <w:rsid w:val="00975416"/>
    <w:rsid w:val="00976281"/>
    <w:rsid w:val="009826A0"/>
    <w:rsid w:val="00985174"/>
    <w:rsid w:val="00986418"/>
    <w:rsid w:val="009877B4"/>
    <w:rsid w:val="00994D67"/>
    <w:rsid w:val="00996AD2"/>
    <w:rsid w:val="009A441F"/>
    <w:rsid w:val="009A533A"/>
    <w:rsid w:val="009A5786"/>
    <w:rsid w:val="009A6D3E"/>
    <w:rsid w:val="009A7A33"/>
    <w:rsid w:val="009B0027"/>
    <w:rsid w:val="009B17F5"/>
    <w:rsid w:val="009B3A96"/>
    <w:rsid w:val="009B6F55"/>
    <w:rsid w:val="009B7EDD"/>
    <w:rsid w:val="009C052F"/>
    <w:rsid w:val="009C0FF1"/>
    <w:rsid w:val="009C29CD"/>
    <w:rsid w:val="009C52C7"/>
    <w:rsid w:val="009C611D"/>
    <w:rsid w:val="009C67E0"/>
    <w:rsid w:val="009D08DB"/>
    <w:rsid w:val="009D5C71"/>
    <w:rsid w:val="009D7ECF"/>
    <w:rsid w:val="009E0031"/>
    <w:rsid w:val="009E3BC1"/>
    <w:rsid w:val="009E570C"/>
    <w:rsid w:val="009E669D"/>
    <w:rsid w:val="009F14C1"/>
    <w:rsid w:val="009F262F"/>
    <w:rsid w:val="009F464B"/>
    <w:rsid w:val="009F5BB9"/>
    <w:rsid w:val="009F60D9"/>
    <w:rsid w:val="009F7139"/>
    <w:rsid w:val="009F777A"/>
    <w:rsid w:val="009F7EF5"/>
    <w:rsid w:val="00A0058B"/>
    <w:rsid w:val="00A02123"/>
    <w:rsid w:val="00A02E0D"/>
    <w:rsid w:val="00A02E6C"/>
    <w:rsid w:val="00A05E97"/>
    <w:rsid w:val="00A06863"/>
    <w:rsid w:val="00A12F56"/>
    <w:rsid w:val="00A14F3E"/>
    <w:rsid w:val="00A15830"/>
    <w:rsid w:val="00A1636F"/>
    <w:rsid w:val="00A205CB"/>
    <w:rsid w:val="00A27948"/>
    <w:rsid w:val="00A325A3"/>
    <w:rsid w:val="00A339C0"/>
    <w:rsid w:val="00A33FA3"/>
    <w:rsid w:val="00A35491"/>
    <w:rsid w:val="00A357EA"/>
    <w:rsid w:val="00A35811"/>
    <w:rsid w:val="00A35CCF"/>
    <w:rsid w:val="00A404DF"/>
    <w:rsid w:val="00A40FF9"/>
    <w:rsid w:val="00A414BF"/>
    <w:rsid w:val="00A425C4"/>
    <w:rsid w:val="00A42EE1"/>
    <w:rsid w:val="00A4304F"/>
    <w:rsid w:val="00A4586D"/>
    <w:rsid w:val="00A45954"/>
    <w:rsid w:val="00A477D3"/>
    <w:rsid w:val="00A5063B"/>
    <w:rsid w:val="00A52AAF"/>
    <w:rsid w:val="00A5462D"/>
    <w:rsid w:val="00A607EB"/>
    <w:rsid w:val="00A615F0"/>
    <w:rsid w:val="00A61C9E"/>
    <w:rsid w:val="00A63B02"/>
    <w:rsid w:val="00A67493"/>
    <w:rsid w:val="00A7147F"/>
    <w:rsid w:val="00A75B69"/>
    <w:rsid w:val="00A76013"/>
    <w:rsid w:val="00A805C6"/>
    <w:rsid w:val="00A8135B"/>
    <w:rsid w:val="00A81B32"/>
    <w:rsid w:val="00A85859"/>
    <w:rsid w:val="00A871DD"/>
    <w:rsid w:val="00A87BE3"/>
    <w:rsid w:val="00A91F7F"/>
    <w:rsid w:val="00A92678"/>
    <w:rsid w:val="00A93375"/>
    <w:rsid w:val="00A940D5"/>
    <w:rsid w:val="00A951B1"/>
    <w:rsid w:val="00A95A00"/>
    <w:rsid w:val="00A9642B"/>
    <w:rsid w:val="00A97352"/>
    <w:rsid w:val="00A97A6A"/>
    <w:rsid w:val="00AA15A9"/>
    <w:rsid w:val="00AA3C71"/>
    <w:rsid w:val="00AA472C"/>
    <w:rsid w:val="00AA5367"/>
    <w:rsid w:val="00AA71A9"/>
    <w:rsid w:val="00AB0348"/>
    <w:rsid w:val="00AB1B5F"/>
    <w:rsid w:val="00AB2AEE"/>
    <w:rsid w:val="00AB2CA0"/>
    <w:rsid w:val="00AB5B34"/>
    <w:rsid w:val="00AC39B7"/>
    <w:rsid w:val="00AC4A7D"/>
    <w:rsid w:val="00AC4E92"/>
    <w:rsid w:val="00AC627C"/>
    <w:rsid w:val="00AC7A2B"/>
    <w:rsid w:val="00AD0B36"/>
    <w:rsid w:val="00AD4C89"/>
    <w:rsid w:val="00AD5F79"/>
    <w:rsid w:val="00AD6A45"/>
    <w:rsid w:val="00AD76B5"/>
    <w:rsid w:val="00AE029F"/>
    <w:rsid w:val="00AE1E41"/>
    <w:rsid w:val="00AE20D8"/>
    <w:rsid w:val="00AE20F5"/>
    <w:rsid w:val="00AE23A6"/>
    <w:rsid w:val="00AE2A42"/>
    <w:rsid w:val="00AE3540"/>
    <w:rsid w:val="00AE4C41"/>
    <w:rsid w:val="00AE5768"/>
    <w:rsid w:val="00AE6945"/>
    <w:rsid w:val="00AF1A6D"/>
    <w:rsid w:val="00AF3B1D"/>
    <w:rsid w:val="00AF5E77"/>
    <w:rsid w:val="00AF5EEF"/>
    <w:rsid w:val="00B01FF9"/>
    <w:rsid w:val="00B02F91"/>
    <w:rsid w:val="00B03ACC"/>
    <w:rsid w:val="00B0424C"/>
    <w:rsid w:val="00B048CB"/>
    <w:rsid w:val="00B119A9"/>
    <w:rsid w:val="00B134ED"/>
    <w:rsid w:val="00B15F0B"/>
    <w:rsid w:val="00B16BCD"/>
    <w:rsid w:val="00B2014C"/>
    <w:rsid w:val="00B21FCC"/>
    <w:rsid w:val="00B22C19"/>
    <w:rsid w:val="00B22EEC"/>
    <w:rsid w:val="00B23203"/>
    <w:rsid w:val="00B2376D"/>
    <w:rsid w:val="00B271F0"/>
    <w:rsid w:val="00B305D0"/>
    <w:rsid w:val="00B31533"/>
    <w:rsid w:val="00B3236E"/>
    <w:rsid w:val="00B32F59"/>
    <w:rsid w:val="00B34E1E"/>
    <w:rsid w:val="00B37D45"/>
    <w:rsid w:val="00B40C28"/>
    <w:rsid w:val="00B428AF"/>
    <w:rsid w:val="00B4333A"/>
    <w:rsid w:val="00B4372E"/>
    <w:rsid w:val="00B44625"/>
    <w:rsid w:val="00B44A3F"/>
    <w:rsid w:val="00B45AAD"/>
    <w:rsid w:val="00B462AE"/>
    <w:rsid w:val="00B47102"/>
    <w:rsid w:val="00B5052F"/>
    <w:rsid w:val="00B5220D"/>
    <w:rsid w:val="00B52F57"/>
    <w:rsid w:val="00B53824"/>
    <w:rsid w:val="00B547D5"/>
    <w:rsid w:val="00B55C47"/>
    <w:rsid w:val="00B56707"/>
    <w:rsid w:val="00B573A5"/>
    <w:rsid w:val="00B60808"/>
    <w:rsid w:val="00B61FCC"/>
    <w:rsid w:val="00B651AE"/>
    <w:rsid w:val="00B66345"/>
    <w:rsid w:val="00B663BE"/>
    <w:rsid w:val="00B72D57"/>
    <w:rsid w:val="00B739ED"/>
    <w:rsid w:val="00B75BE0"/>
    <w:rsid w:val="00B766D4"/>
    <w:rsid w:val="00B76D6F"/>
    <w:rsid w:val="00B76DF6"/>
    <w:rsid w:val="00B83129"/>
    <w:rsid w:val="00B842E7"/>
    <w:rsid w:val="00B84C3A"/>
    <w:rsid w:val="00B854B0"/>
    <w:rsid w:val="00B87604"/>
    <w:rsid w:val="00B928E1"/>
    <w:rsid w:val="00B93240"/>
    <w:rsid w:val="00B94664"/>
    <w:rsid w:val="00B954DE"/>
    <w:rsid w:val="00B956D9"/>
    <w:rsid w:val="00B956F5"/>
    <w:rsid w:val="00BA13BF"/>
    <w:rsid w:val="00BA1B46"/>
    <w:rsid w:val="00BA2E11"/>
    <w:rsid w:val="00BA5AAA"/>
    <w:rsid w:val="00BA63E9"/>
    <w:rsid w:val="00BB1342"/>
    <w:rsid w:val="00BB302B"/>
    <w:rsid w:val="00BB671F"/>
    <w:rsid w:val="00BC1727"/>
    <w:rsid w:val="00BC1EAA"/>
    <w:rsid w:val="00BC40FC"/>
    <w:rsid w:val="00BC4A89"/>
    <w:rsid w:val="00BC6465"/>
    <w:rsid w:val="00BD087E"/>
    <w:rsid w:val="00BD2B2C"/>
    <w:rsid w:val="00BE23D1"/>
    <w:rsid w:val="00BE2CFA"/>
    <w:rsid w:val="00BE3BE4"/>
    <w:rsid w:val="00BE46C4"/>
    <w:rsid w:val="00BE50FA"/>
    <w:rsid w:val="00BE6CC6"/>
    <w:rsid w:val="00BE7188"/>
    <w:rsid w:val="00BE7545"/>
    <w:rsid w:val="00BE789F"/>
    <w:rsid w:val="00BF0844"/>
    <w:rsid w:val="00BF2F19"/>
    <w:rsid w:val="00BF35AC"/>
    <w:rsid w:val="00BF3FEC"/>
    <w:rsid w:val="00BF4DCA"/>
    <w:rsid w:val="00C00D5B"/>
    <w:rsid w:val="00C0368C"/>
    <w:rsid w:val="00C055EE"/>
    <w:rsid w:val="00C0665C"/>
    <w:rsid w:val="00C1356F"/>
    <w:rsid w:val="00C13C59"/>
    <w:rsid w:val="00C15FDE"/>
    <w:rsid w:val="00C160E7"/>
    <w:rsid w:val="00C172A2"/>
    <w:rsid w:val="00C206F7"/>
    <w:rsid w:val="00C20C98"/>
    <w:rsid w:val="00C20F4D"/>
    <w:rsid w:val="00C30576"/>
    <w:rsid w:val="00C31338"/>
    <w:rsid w:val="00C3212F"/>
    <w:rsid w:val="00C3221C"/>
    <w:rsid w:val="00C32813"/>
    <w:rsid w:val="00C35882"/>
    <w:rsid w:val="00C37DED"/>
    <w:rsid w:val="00C404FB"/>
    <w:rsid w:val="00C42C61"/>
    <w:rsid w:val="00C43DA3"/>
    <w:rsid w:val="00C445E8"/>
    <w:rsid w:val="00C447E0"/>
    <w:rsid w:val="00C46BED"/>
    <w:rsid w:val="00C47447"/>
    <w:rsid w:val="00C47BFC"/>
    <w:rsid w:val="00C5113F"/>
    <w:rsid w:val="00C519FD"/>
    <w:rsid w:val="00C528BF"/>
    <w:rsid w:val="00C56578"/>
    <w:rsid w:val="00C6230A"/>
    <w:rsid w:val="00C75C8A"/>
    <w:rsid w:val="00C77AD4"/>
    <w:rsid w:val="00C814D9"/>
    <w:rsid w:val="00C81738"/>
    <w:rsid w:val="00C82334"/>
    <w:rsid w:val="00C82387"/>
    <w:rsid w:val="00C85764"/>
    <w:rsid w:val="00C90C73"/>
    <w:rsid w:val="00C959CA"/>
    <w:rsid w:val="00C9613D"/>
    <w:rsid w:val="00C97056"/>
    <w:rsid w:val="00CA000E"/>
    <w:rsid w:val="00CA10A3"/>
    <w:rsid w:val="00CA1342"/>
    <w:rsid w:val="00CA1350"/>
    <w:rsid w:val="00CA1C6C"/>
    <w:rsid w:val="00CA2EEB"/>
    <w:rsid w:val="00CA509F"/>
    <w:rsid w:val="00CB1163"/>
    <w:rsid w:val="00CB2D79"/>
    <w:rsid w:val="00CB5D96"/>
    <w:rsid w:val="00CB5E00"/>
    <w:rsid w:val="00CB5F1F"/>
    <w:rsid w:val="00CB6D91"/>
    <w:rsid w:val="00CC0DCD"/>
    <w:rsid w:val="00CC1045"/>
    <w:rsid w:val="00CC1C38"/>
    <w:rsid w:val="00CC26CE"/>
    <w:rsid w:val="00CC3CC9"/>
    <w:rsid w:val="00CC3D22"/>
    <w:rsid w:val="00CC460D"/>
    <w:rsid w:val="00CC74C2"/>
    <w:rsid w:val="00CC7C26"/>
    <w:rsid w:val="00CD125E"/>
    <w:rsid w:val="00CD1D46"/>
    <w:rsid w:val="00CD709E"/>
    <w:rsid w:val="00CE187F"/>
    <w:rsid w:val="00CE19AB"/>
    <w:rsid w:val="00CE1B5E"/>
    <w:rsid w:val="00CE631B"/>
    <w:rsid w:val="00CE7413"/>
    <w:rsid w:val="00CE7772"/>
    <w:rsid w:val="00CF0E8D"/>
    <w:rsid w:val="00CF2888"/>
    <w:rsid w:val="00CF3E23"/>
    <w:rsid w:val="00CF59EC"/>
    <w:rsid w:val="00CF5EB5"/>
    <w:rsid w:val="00CF79C9"/>
    <w:rsid w:val="00D02341"/>
    <w:rsid w:val="00D04599"/>
    <w:rsid w:val="00D05F38"/>
    <w:rsid w:val="00D061D9"/>
    <w:rsid w:val="00D06A2C"/>
    <w:rsid w:val="00D12D69"/>
    <w:rsid w:val="00D1329A"/>
    <w:rsid w:val="00D134F7"/>
    <w:rsid w:val="00D15D9E"/>
    <w:rsid w:val="00D17208"/>
    <w:rsid w:val="00D17418"/>
    <w:rsid w:val="00D174E1"/>
    <w:rsid w:val="00D21477"/>
    <w:rsid w:val="00D2177C"/>
    <w:rsid w:val="00D23475"/>
    <w:rsid w:val="00D23D0B"/>
    <w:rsid w:val="00D240DD"/>
    <w:rsid w:val="00D24F07"/>
    <w:rsid w:val="00D26884"/>
    <w:rsid w:val="00D2715D"/>
    <w:rsid w:val="00D27BA2"/>
    <w:rsid w:val="00D303D0"/>
    <w:rsid w:val="00D308A6"/>
    <w:rsid w:val="00D31ADE"/>
    <w:rsid w:val="00D31B9D"/>
    <w:rsid w:val="00D325CE"/>
    <w:rsid w:val="00D34E57"/>
    <w:rsid w:val="00D3599F"/>
    <w:rsid w:val="00D371A3"/>
    <w:rsid w:val="00D374B2"/>
    <w:rsid w:val="00D37708"/>
    <w:rsid w:val="00D40144"/>
    <w:rsid w:val="00D40838"/>
    <w:rsid w:val="00D4365C"/>
    <w:rsid w:val="00D45651"/>
    <w:rsid w:val="00D45B36"/>
    <w:rsid w:val="00D45C6E"/>
    <w:rsid w:val="00D465C5"/>
    <w:rsid w:val="00D46CAE"/>
    <w:rsid w:val="00D47FFA"/>
    <w:rsid w:val="00D5099A"/>
    <w:rsid w:val="00D50B01"/>
    <w:rsid w:val="00D52DF1"/>
    <w:rsid w:val="00D53871"/>
    <w:rsid w:val="00D60905"/>
    <w:rsid w:val="00D65B7B"/>
    <w:rsid w:val="00D66DD2"/>
    <w:rsid w:val="00D66EDF"/>
    <w:rsid w:val="00D67138"/>
    <w:rsid w:val="00D7067B"/>
    <w:rsid w:val="00D71BCC"/>
    <w:rsid w:val="00D72D88"/>
    <w:rsid w:val="00D74537"/>
    <w:rsid w:val="00D7485B"/>
    <w:rsid w:val="00D76D2D"/>
    <w:rsid w:val="00D76E4E"/>
    <w:rsid w:val="00D77D20"/>
    <w:rsid w:val="00D814E5"/>
    <w:rsid w:val="00D819CD"/>
    <w:rsid w:val="00D81F34"/>
    <w:rsid w:val="00D82422"/>
    <w:rsid w:val="00D82DA2"/>
    <w:rsid w:val="00D83693"/>
    <w:rsid w:val="00D8490B"/>
    <w:rsid w:val="00D85333"/>
    <w:rsid w:val="00D85BEC"/>
    <w:rsid w:val="00D85CF3"/>
    <w:rsid w:val="00D863FD"/>
    <w:rsid w:val="00D865FC"/>
    <w:rsid w:val="00D86CA1"/>
    <w:rsid w:val="00D87301"/>
    <w:rsid w:val="00D87925"/>
    <w:rsid w:val="00D917AC"/>
    <w:rsid w:val="00D920AD"/>
    <w:rsid w:val="00D9290F"/>
    <w:rsid w:val="00D947D7"/>
    <w:rsid w:val="00D95241"/>
    <w:rsid w:val="00D958F8"/>
    <w:rsid w:val="00DA0CC9"/>
    <w:rsid w:val="00DA15AB"/>
    <w:rsid w:val="00DA1B61"/>
    <w:rsid w:val="00DA303B"/>
    <w:rsid w:val="00DA5200"/>
    <w:rsid w:val="00DA5B53"/>
    <w:rsid w:val="00DA7B97"/>
    <w:rsid w:val="00DA7DFA"/>
    <w:rsid w:val="00DB330C"/>
    <w:rsid w:val="00DB4530"/>
    <w:rsid w:val="00DB79D7"/>
    <w:rsid w:val="00DC0324"/>
    <w:rsid w:val="00DC26B5"/>
    <w:rsid w:val="00DC2C30"/>
    <w:rsid w:val="00DC35FB"/>
    <w:rsid w:val="00DC7017"/>
    <w:rsid w:val="00DD1888"/>
    <w:rsid w:val="00DD543F"/>
    <w:rsid w:val="00DD5DB1"/>
    <w:rsid w:val="00DD603F"/>
    <w:rsid w:val="00DD61E3"/>
    <w:rsid w:val="00DD74A9"/>
    <w:rsid w:val="00DE22D0"/>
    <w:rsid w:val="00DE2DCE"/>
    <w:rsid w:val="00DE3F70"/>
    <w:rsid w:val="00DE3FF3"/>
    <w:rsid w:val="00DE412E"/>
    <w:rsid w:val="00DF045A"/>
    <w:rsid w:val="00DF218E"/>
    <w:rsid w:val="00DF3809"/>
    <w:rsid w:val="00E021E4"/>
    <w:rsid w:val="00E0275F"/>
    <w:rsid w:val="00E02926"/>
    <w:rsid w:val="00E02D98"/>
    <w:rsid w:val="00E03CB5"/>
    <w:rsid w:val="00E11F28"/>
    <w:rsid w:val="00E13E1C"/>
    <w:rsid w:val="00E14A9C"/>
    <w:rsid w:val="00E179B0"/>
    <w:rsid w:val="00E233AC"/>
    <w:rsid w:val="00E23BC3"/>
    <w:rsid w:val="00E3035A"/>
    <w:rsid w:val="00E31A6D"/>
    <w:rsid w:val="00E321B0"/>
    <w:rsid w:val="00E32558"/>
    <w:rsid w:val="00E34081"/>
    <w:rsid w:val="00E341B3"/>
    <w:rsid w:val="00E346E1"/>
    <w:rsid w:val="00E34F5C"/>
    <w:rsid w:val="00E3589B"/>
    <w:rsid w:val="00E363F6"/>
    <w:rsid w:val="00E36475"/>
    <w:rsid w:val="00E4289F"/>
    <w:rsid w:val="00E43A89"/>
    <w:rsid w:val="00E43EF8"/>
    <w:rsid w:val="00E470DC"/>
    <w:rsid w:val="00E54716"/>
    <w:rsid w:val="00E54B9B"/>
    <w:rsid w:val="00E57D02"/>
    <w:rsid w:val="00E63CC6"/>
    <w:rsid w:val="00E64E5A"/>
    <w:rsid w:val="00E654CC"/>
    <w:rsid w:val="00E66448"/>
    <w:rsid w:val="00E668A3"/>
    <w:rsid w:val="00E67769"/>
    <w:rsid w:val="00E727A9"/>
    <w:rsid w:val="00E73069"/>
    <w:rsid w:val="00E74B09"/>
    <w:rsid w:val="00E76C08"/>
    <w:rsid w:val="00E77262"/>
    <w:rsid w:val="00E806A2"/>
    <w:rsid w:val="00E8255E"/>
    <w:rsid w:val="00E82D03"/>
    <w:rsid w:val="00E866B0"/>
    <w:rsid w:val="00E86FE6"/>
    <w:rsid w:val="00E917CA"/>
    <w:rsid w:val="00E91F38"/>
    <w:rsid w:val="00E951CC"/>
    <w:rsid w:val="00EA5709"/>
    <w:rsid w:val="00EA5AAC"/>
    <w:rsid w:val="00EA5FAA"/>
    <w:rsid w:val="00EA6EEA"/>
    <w:rsid w:val="00EB1BF5"/>
    <w:rsid w:val="00EB2C06"/>
    <w:rsid w:val="00EB4324"/>
    <w:rsid w:val="00EB4C45"/>
    <w:rsid w:val="00EB578A"/>
    <w:rsid w:val="00EB6DE2"/>
    <w:rsid w:val="00EC2CF2"/>
    <w:rsid w:val="00EC3328"/>
    <w:rsid w:val="00EC391D"/>
    <w:rsid w:val="00EC4EBC"/>
    <w:rsid w:val="00EC5D31"/>
    <w:rsid w:val="00EC6BA0"/>
    <w:rsid w:val="00ED02E6"/>
    <w:rsid w:val="00ED09AE"/>
    <w:rsid w:val="00ED0A9E"/>
    <w:rsid w:val="00ED21D1"/>
    <w:rsid w:val="00ED2205"/>
    <w:rsid w:val="00ED48EA"/>
    <w:rsid w:val="00EE1C90"/>
    <w:rsid w:val="00EE2583"/>
    <w:rsid w:val="00EE2E52"/>
    <w:rsid w:val="00EE5A05"/>
    <w:rsid w:val="00EE6CE5"/>
    <w:rsid w:val="00EF1BE7"/>
    <w:rsid w:val="00EF28B4"/>
    <w:rsid w:val="00EF4D1E"/>
    <w:rsid w:val="00EF523C"/>
    <w:rsid w:val="00EF61E7"/>
    <w:rsid w:val="00F0091B"/>
    <w:rsid w:val="00F0165B"/>
    <w:rsid w:val="00F0399F"/>
    <w:rsid w:val="00F049F1"/>
    <w:rsid w:val="00F06743"/>
    <w:rsid w:val="00F068F3"/>
    <w:rsid w:val="00F07B05"/>
    <w:rsid w:val="00F102BF"/>
    <w:rsid w:val="00F105E8"/>
    <w:rsid w:val="00F13F9A"/>
    <w:rsid w:val="00F152BD"/>
    <w:rsid w:val="00F20472"/>
    <w:rsid w:val="00F221BE"/>
    <w:rsid w:val="00F221D9"/>
    <w:rsid w:val="00F22542"/>
    <w:rsid w:val="00F2275F"/>
    <w:rsid w:val="00F3003E"/>
    <w:rsid w:val="00F304CC"/>
    <w:rsid w:val="00F32BD0"/>
    <w:rsid w:val="00F40243"/>
    <w:rsid w:val="00F40E70"/>
    <w:rsid w:val="00F423AE"/>
    <w:rsid w:val="00F441E4"/>
    <w:rsid w:val="00F45CA1"/>
    <w:rsid w:val="00F45F03"/>
    <w:rsid w:val="00F5063F"/>
    <w:rsid w:val="00F51250"/>
    <w:rsid w:val="00F5161F"/>
    <w:rsid w:val="00F52355"/>
    <w:rsid w:val="00F57108"/>
    <w:rsid w:val="00F6371B"/>
    <w:rsid w:val="00F65D86"/>
    <w:rsid w:val="00F67D6D"/>
    <w:rsid w:val="00F72681"/>
    <w:rsid w:val="00F72AB8"/>
    <w:rsid w:val="00F76024"/>
    <w:rsid w:val="00F77C0B"/>
    <w:rsid w:val="00F82E5F"/>
    <w:rsid w:val="00F85FE8"/>
    <w:rsid w:val="00F8675C"/>
    <w:rsid w:val="00F87D99"/>
    <w:rsid w:val="00F918AC"/>
    <w:rsid w:val="00F91E55"/>
    <w:rsid w:val="00F95D36"/>
    <w:rsid w:val="00F972AF"/>
    <w:rsid w:val="00FA12A5"/>
    <w:rsid w:val="00FA3F70"/>
    <w:rsid w:val="00FA5F85"/>
    <w:rsid w:val="00FB0CFF"/>
    <w:rsid w:val="00FB1220"/>
    <w:rsid w:val="00FB1A72"/>
    <w:rsid w:val="00FB1EFE"/>
    <w:rsid w:val="00FB4AC8"/>
    <w:rsid w:val="00FB5CBC"/>
    <w:rsid w:val="00FB63D4"/>
    <w:rsid w:val="00FC0188"/>
    <w:rsid w:val="00FC0AAB"/>
    <w:rsid w:val="00FC0DBA"/>
    <w:rsid w:val="00FC1DC4"/>
    <w:rsid w:val="00FC27AB"/>
    <w:rsid w:val="00FC708E"/>
    <w:rsid w:val="00FC7701"/>
    <w:rsid w:val="00FC79A1"/>
    <w:rsid w:val="00FD1BB0"/>
    <w:rsid w:val="00FD1E14"/>
    <w:rsid w:val="00FD5D57"/>
    <w:rsid w:val="00FE1F01"/>
    <w:rsid w:val="00FE2B1E"/>
    <w:rsid w:val="00FE45AC"/>
    <w:rsid w:val="00FE5F66"/>
    <w:rsid w:val="00FE7329"/>
    <w:rsid w:val="00FF2632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3B0"/>
  <w15:docId w15:val="{C95E7D72-3B99-47F9-B1BA-8A83507D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563"/>
  </w:style>
  <w:style w:type="paragraph" w:styleId="Nagwek1">
    <w:name w:val="heading 1"/>
    <w:basedOn w:val="Normalny"/>
    <w:next w:val="Normalny"/>
    <w:link w:val="Nagwek1Znak"/>
    <w:uiPriority w:val="9"/>
    <w:qFormat/>
    <w:rsid w:val="00621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882"/>
    <w:pPr>
      <w:ind w:left="720"/>
      <w:contextualSpacing/>
    </w:pPr>
  </w:style>
  <w:style w:type="paragraph" w:customStyle="1" w:styleId="Default">
    <w:name w:val="Default"/>
    <w:rsid w:val="00C85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13D"/>
  </w:style>
  <w:style w:type="paragraph" w:styleId="Stopka">
    <w:name w:val="footer"/>
    <w:basedOn w:val="Normalny"/>
    <w:link w:val="StopkaZnak"/>
    <w:uiPriority w:val="99"/>
    <w:unhideWhenUsed/>
    <w:rsid w:val="00C9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13D"/>
  </w:style>
  <w:style w:type="character" w:styleId="Hipercze">
    <w:name w:val="Hyperlink"/>
    <w:basedOn w:val="Domylnaczcionkaakapitu"/>
    <w:uiPriority w:val="99"/>
    <w:unhideWhenUsed/>
    <w:rsid w:val="00EC2CF2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0925D8"/>
  </w:style>
  <w:style w:type="character" w:styleId="Odwoaniedokomentarza">
    <w:name w:val="annotation reference"/>
    <w:basedOn w:val="Domylnaczcionkaakapitu"/>
    <w:uiPriority w:val="99"/>
    <w:semiHidden/>
    <w:unhideWhenUsed/>
    <w:rsid w:val="00975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0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F5"/>
    <w:rPr>
      <w:rFonts w:ascii="Tahoma" w:hAnsi="Tahoma" w:cs="Tahoma"/>
      <w:sz w:val="16"/>
      <w:szCs w:val="16"/>
    </w:rPr>
  </w:style>
  <w:style w:type="paragraph" w:customStyle="1" w:styleId="ARTartustawynprozporzdzenia">
    <w:name w:val="ART(§) – art. ustawy (§ np. rozporządzenia)"/>
    <w:uiPriority w:val="11"/>
    <w:qFormat/>
    <w:rsid w:val="002572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2572C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572C9"/>
    <w:pPr>
      <w:spacing w:before="0"/>
    </w:pPr>
    <w:rPr>
      <w:bCs/>
    </w:rPr>
  </w:style>
  <w:style w:type="character" w:customStyle="1" w:styleId="IGindeksgrny">
    <w:name w:val="_IG_ – indeks górny"/>
    <w:basedOn w:val="Domylnaczcionkaakapitu"/>
    <w:uiPriority w:val="2"/>
    <w:qFormat/>
    <w:rsid w:val="002572C9"/>
    <w:rPr>
      <w:b w:val="0"/>
      <w:i w:val="0"/>
      <w:vanish w:val="0"/>
      <w:spacing w:val="0"/>
      <w:vertAlign w:val="superscript"/>
    </w:rPr>
  </w:style>
  <w:style w:type="character" w:customStyle="1" w:styleId="TekstprzypisudolnegoZnak">
    <w:name w:val="Tekst przypisu dolnego Znak"/>
    <w:aliases w:val="FA Znak,FA Fußnotentext Znak,Podrozdział Znak,Podrozdzia3 Znak,Footnote Znak,Schriftart: 9 pt Znak,Schriftart: 10 pt Znak,Schriftart: 8 pt Znak,o Znak,Footnote text Znak,Tekst przypisu Znak Znak Znak Znak Znak,fußn Znak"/>
    <w:basedOn w:val="Domylnaczcionkaakapitu"/>
    <w:link w:val="Tekstprzypisudolnego"/>
    <w:uiPriority w:val="99"/>
    <w:semiHidden/>
    <w:locked/>
    <w:rsid w:val="007F2860"/>
  </w:style>
  <w:style w:type="paragraph" w:styleId="Tekstprzypisudolnego">
    <w:name w:val="footnote text"/>
    <w:aliases w:val="FA,FA Fußnotentext,Podrozdział,Podrozdzia3,Footnote,Schriftart: 9 pt,Schriftart: 10 pt,Schriftart: 8 pt,o,Footnote text,Tekst przypisu Znak Znak Znak Znak,Tekst przypisu Znak Znak Znak Znak Znak Char,fußn,Fußnote"/>
    <w:basedOn w:val="Normalny"/>
    <w:link w:val="TekstprzypisudolnegoZnak"/>
    <w:uiPriority w:val="99"/>
    <w:semiHidden/>
    <w:unhideWhenUsed/>
    <w:rsid w:val="007F2860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F2860"/>
    <w:rPr>
      <w:sz w:val="20"/>
      <w:szCs w:val="20"/>
    </w:rPr>
  </w:style>
  <w:style w:type="character" w:customStyle="1" w:styleId="AAPKT1Znak">
    <w:name w:val="AA PKT 1 Znak"/>
    <w:link w:val="AAPKT1"/>
    <w:locked/>
    <w:rsid w:val="007F2860"/>
    <w:rPr>
      <w:rFonts w:ascii="Times New Roman" w:hAnsi="Times New Roman" w:cs="Times New Roman"/>
      <w:b/>
      <w:caps/>
    </w:rPr>
  </w:style>
  <w:style w:type="paragraph" w:customStyle="1" w:styleId="AAPKT1">
    <w:name w:val="AA PKT 1"/>
    <w:basedOn w:val="Akapitzlist"/>
    <w:link w:val="AAPKT1Znak"/>
    <w:qFormat/>
    <w:rsid w:val="007F2860"/>
    <w:pPr>
      <w:numPr>
        <w:numId w:val="4"/>
      </w:numPr>
      <w:snapToGrid w:val="0"/>
      <w:spacing w:before="240" w:after="240"/>
      <w:ind w:left="714" w:right="40" w:hanging="357"/>
      <w:contextualSpacing w:val="0"/>
      <w:jc w:val="both"/>
    </w:pPr>
    <w:rPr>
      <w:rFonts w:ascii="Times New Roman" w:hAnsi="Times New Roman" w:cs="Times New Roman"/>
      <w:b/>
      <w:caps/>
    </w:rPr>
  </w:style>
  <w:style w:type="character" w:styleId="Odwoanieprzypisudolnego">
    <w:name w:val="footnote reference"/>
    <w:aliases w:val="FZ,Footnote symbol,Voetnootverwijzing,Footnote reference number"/>
    <w:uiPriority w:val="99"/>
    <w:semiHidden/>
    <w:unhideWhenUsed/>
    <w:rsid w:val="007F2860"/>
    <w:rPr>
      <w:vertAlign w:val="superscript"/>
    </w:rPr>
  </w:style>
  <w:style w:type="paragraph" w:styleId="Poprawka">
    <w:name w:val="Revision"/>
    <w:hidden/>
    <w:uiPriority w:val="99"/>
    <w:semiHidden/>
    <w:rsid w:val="0054590F"/>
    <w:pPr>
      <w:spacing w:after="0" w:line="240" w:lineRule="auto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7701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A73"/>
    <w:rPr>
      <w:vertAlign w:val="superscript"/>
    </w:rPr>
  </w:style>
  <w:style w:type="table" w:styleId="redniasiatka1akcent5">
    <w:name w:val="Medium Grid 1 Accent 5"/>
    <w:basedOn w:val="Standardowy"/>
    <w:uiPriority w:val="67"/>
    <w:rsid w:val="00B22EE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621D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D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621D1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21D1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21D1F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621D1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621D1F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21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62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1D1F"/>
  </w:style>
  <w:style w:type="paragraph" w:styleId="Bezodstpw">
    <w:name w:val="No Spacing"/>
    <w:uiPriority w:val="99"/>
    <w:qFormat/>
    <w:rsid w:val="00AC627C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2"/>
      <w:sz w:val="24"/>
      <w:szCs w:val="24"/>
      <w:lang w:eastAsia="ar-SA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C627C"/>
    <w:pPr>
      <w:spacing w:before="0"/>
      <w:ind w:left="510"/>
    </w:p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C627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C627C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C627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AC62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C627C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AC627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C627C"/>
    <w:pPr>
      <w:ind w:firstLine="0"/>
    </w:pPr>
    <w:rPr>
      <w:rFonts w:ascii="Times New Roman" w:hAnsi="Times New Roman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C627C"/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C627C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99"/>
    <w:qFormat/>
    <w:rsid w:val="00AC627C"/>
    <w:rPr>
      <w:b/>
      <w:bCs w:val="0"/>
    </w:rPr>
  </w:style>
  <w:style w:type="paragraph" w:customStyle="1" w:styleId="ZLITUSTzmustliter">
    <w:name w:val="Z_LIT/UST(§) – zm. ust. (§) literą"/>
    <w:basedOn w:val="Normalny"/>
    <w:uiPriority w:val="46"/>
    <w:qFormat/>
    <w:rsid w:val="0095136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CA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5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8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06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0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3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6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C2EF-9360-40F3-BC65-D63DBD4D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4281</Words>
  <Characters>25686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Wiśniewska</dc:creator>
  <cp:lastModifiedBy>Grzegorz Molesztak</cp:lastModifiedBy>
  <cp:revision>3</cp:revision>
  <cp:lastPrinted>2022-05-31T16:28:00Z</cp:lastPrinted>
  <dcterms:created xsi:type="dcterms:W3CDTF">2022-09-22T10:54:00Z</dcterms:created>
  <dcterms:modified xsi:type="dcterms:W3CDTF">2022-09-27T10:12:00Z</dcterms:modified>
</cp:coreProperties>
</file>