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3F02" w14:textId="77777777" w:rsidR="0095045F" w:rsidRPr="00FD3A19" w:rsidRDefault="0095045F" w:rsidP="0095045F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FD3A19">
        <w:rPr>
          <w:rFonts w:ascii="Arial" w:hAnsi="Arial" w:cs="Arial"/>
          <w:b/>
          <w:bCs/>
          <w:sz w:val="24"/>
          <w:szCs w:val="20"/>
        </w:rPr>
        <w:t>UZASADNIENIE</w:t>
      </w:r>
    </w:p>
    <w:p w14:paraId="43A73A12" w14:textId="474B912A" w:rsidR="0095045F" w:rsidRPr="00925585" w:rsidRDefault="0095045F" w:rsidP="0095045F">
      <w:pPr>
        <w:pStyle w:val="Normal1"/>
      </w:pPr>
      <w:r w:rsidRPr="00925585">
        <w:t xml:space="preserve">Projekt </w:t>
      </w:r>
      <w:r w:rsidRPr="00925585">
        <w:rPr>
          <w:i/>
          <w:iCs/>
        </w:rPr>
        <w:t>ustawy o zmianie ustawy o odnawialnych źródłach energii oraz niektórych innych ustaw</w:t>
      </w:r>
      <w:r w:rsidRPr="00925585">
        <w:t xml:space="preserve"> ma na celu modyfikację funkcjonującego systemu wsparcia prosumpcji </w:t>
      </w:r>
      <w:r>
        <w:t>przez</w:t>
      </w:r>
      <w:r w:rsidRPr="00925585">
        <w:t xml:space="preserve"> stworzenie warunków do szerszej partycypacji społeczeństwa. Głównym celem niniejszego projektu jest promocja </w:t>
      </w:r>
      <w:r>
        <w:t xml:space="preserve">wykorzystania </w:t>
      </w:r>
      <w:r w:rsidRPr="00925585">
        <w:t>odnawialnych źródeł energii w form</w:t>
      </w:r>
      <w:r>
        <w:t>ul</w:t>
      </w:r>
      <w:r w:rsidRPr="00925585">
        <w:t>e rozproszonej i obywatelskiej</w:t>
      </w:r>
      <w:r>
        <w:t>,</w:t>
      </w:r>
      <w:r w:rsidRPr="00925585">
        <w:t xml:space="preserve"> co przyczyni się do osiągnięcia </w:t>
      </w:r>
      <w:r>
        <w:t xml:space="preserve">krajowego </w:t>
      </w:r>
      <w:r w:rsidRPr="00925585">
        <w:t>celu udziału energii ze źródeł odnawialnych w końcowym zużyciu energii brutto. Przedstawiane rozwiązania adresują zidentyfikowane problemy w funkcjonowaniu modelu prosumpcji oraz umożliwią korzystanie z</w:t>
      </w:r>
      <w:r w:rsidR="0000415C">
        <w:t>e</w:t>
      </w:r>
      <w:r w:rsidRPr="00925585">
        <w:t xml:space="preserve"> wsparcia energetyki prosumenckiej przez grupy odbiorców energii, które dotychczas nie miały takiej możliwości</w:t>
      </w:r>
      <w:r w:rsidR="0000415C">
        <w:t>,</w:t>
      </w:r>
      <w:r w:rsidRPr="00925585">
        <w:t xml:space="preserve"> wprowadzając wariant </w:t>
      </w:r>
      <w:r>
        <w:t>„</w:t>
      </w:r>
      <w:r w:rsidRPr="00925585">
        <w:t>prosumenta zbiorowego energii odnawialnej</w:t>
      </w:r>
      <w:r>
        <w:t>”</w:t>
      </w:r>
      <w:r w:rsidRPr="00925585">
        <w:t xml:space="preserve"> (</w:t>
      </w:r>
      <w:r w:rsidR="002A09DF">
        <w:t>służący</w:t>
      </w:r>
      <w:r w:rsidRPr="00925585">
        <w:t xml:space="preserve"> budowie i eksploatacji instalacji </w:t>
      </w:r>
      <w:r w:rsidR="0000415C">
        <w:t>odnawialnego źródła energii (</w:t>
      </w:r>
      <w:r w:rsidRPr="00925585">
        <w:t>OZE</w:t>
      </w:r>
      <w:r w:rsidR="0000415C">
        <w:t>)</w:t>
      </w:r>
      <w:r w:rsidRPr="00925585">
        <w:t xml:space="preserve"> w ramach budynków wielolokalowych) oraz </w:t>
      </w:r>
      <w:r>
        <w:t>„</w:t>
      </w:r>
      <w:r w:rsidRPr="00925585">
        <w:t>prosumenta wirtualnego energii odnawialnej</w:t>
      </w:r>
      <w:r>
        <w:t>”</w:t>
      </w:r>
      <w:r w:rsidRPr="00925585">
        <w:t xml:space="preserve"> (opierającego się na koncepcji przypisania określonej części produkcji z oddalonej instalacji OZE do danego punktu poboru energii). Dodatkowo projekt ustawy doprecyzowuje regulacje, wobec których zidentyfikowane zostały wątpliwości interpretacyjne lub </w:t>
      </w:r>
      <w:r w:rsidR="00BA328C">
        <w:t xml:space="preserve">które </w:t>
      </w:r>
      <w:r w:rsidRPr="00925585">
        <w:t>są wdrażane w różny sposób przez uczestników rynku</w:t>
      </w:r>
      <w:r>
        <w:t>, a także</w:t>
      </w:r>
      <w:r w:rsidRPr="00925585">
        <w:t xml:space="preserve"> wprowadza zmiany niezbędne do kompleksowego usprawnienia działania i promocji systemu prosumpcji w Polsce.</w:t>
      </w:r>
    </w:p>
    <w:p w14:paraId="016B910C" w14:textId="6CD8FF96" w:rsidR="0095045F" w:rsidRPr="00925585" w:rsidRDefault="0095045F" w:rsidP="0095045F">
      <w:pPr>
        <w:pStyle w:val="Normal1"/>
      </w:pPr>
      <w:r w:rsidRPr="00925585">
        <w:t>Projekt jest implementacją art. 2 pkt 15 i art. 21 ust. 1</w:t>
      </w:r>
      <w:r w:rsidR="0000415C">
        <w:t xml:space="preserve"> i </w:t>
      </w:r>
      <w:r w:rsidRPr="00925585">
        <w:t xml:space="preserve"> 4</w:t>
      </w:r>
      <w:r w:rsidR="0000415C">
        <w:rPr>
          <w:rFonts w:ascii="Times New Roman" w:hAnsi="Times New Roman" w:cs="Times New Roman"/>
          <w:sz w:val="24"/>
        </w:rPr>
        <w:t>–</w:t>
      </w:r>
      <w:r w:rsidRPr="00925585">
        <w:t>6 dyrektywy Parlamentu Europejskiego i</w:t>
      </w:r>
      <w:r>
        <w:t> </w:t>
      </w:r>
      <w:r w:rsidRPr="00925585">
        <w:t>Rady (UE) 2018/2001 z dnia 11 grudnia 2018 r. w sprawie promowania stosowania energii ze źródeł odnawialnych</w:t>
      </w:r>
      <w:r w:rsidR="0000415C">
        <w:t xml:space="preserve"> (Dz. Urz. UE L 328  21.12.2018, str</w:t>
      </w:r>
      <w:r w:rsidR="0000415C" w:rsidRPr="0000415C">
        <w:t>. 82</w:t>
      </w:r>
      <w:r w:rsidR="0000415C">
        <w:t>, z późn. zm)</w:t>
      </w:r>
      <w:r w:rsidRPr="00925585">
        <w:t xml:space="preserve"> (dalej jako „dyrektywa RED II”). Proponowane przepisy dopuszczają możliwość eksploatacji przez prosumentów energii odnawialnej instalacji, która nie jest ich własnością i która może być zarządzana przez osobę trzecią, która jednak podlega ich instrukcjom</w:t>
      </w:r>
      <w:r>
        <w:t>,</w:t>
      </w:r>
      <w:r w:rsidRPr="00925585">
        <w:t xml:space="preserve"> co jest w pełni zgodne z</w:t>
      </w:r>
      <w:r>
        <w:t> </w:t>
      </w:r>
      <w:r w:rsidR="0000415C">
        <w:t xml:space="preserve">regulacjami </w:t>
      </w:r>
      <w:r>
        <w:t xml:space="preserve">dyrektywy </w:t>
      </w:r>
      <w:r w:rsidRPr="00925585">
        <w:t xml:space="preserve">RED II. </w:t>
      </w:r>
    </w:p>
    <w:p w14:paraId="16A817EF" w14:textId="5BD21E25" w:rsidR="0095045F" w:rsidRPr="00925585" w:rsidRDefault="0095045F" w:rsidP="0095045F">
      <w:pPr>
        <w:pStyle w:val="Normal1"/>
      </w:pPr>
      <w:r w:rsidRPr="00925585">
        <w:t>Działania mające na celu rozwój i wykorzystanie energetyki prosumenckiej i rozproszonej przyczynią się równocześnie do realizacji innych priorytetów rządu</w:t>
      </w:r>
      <w:r>
        <w:t>,</w:t>
      </w:r>
      <w:r w:rsidRPr="00925585">
        <w:t xml:space="preserve"> takich jak:</w:t>
      </w:r>
    </w:p>
    <w:p w14:paraId="49AAE37F" w14:textId="26DB46A3" w:rsidR="0095045F" w:rsidRPr="00925585" w:rsidRDefault="0095045F" w:rsidP="0095045F">
      <w:pPr>
        <w:pStyle w:val="Normal1"/>
        <w:numPr>
          <w:ilvl w:val="0"/>
          <w:numId w:val="7"/>
        </w:numPr>
      </w:pPr>
      <w:r w:rsidRPr="00925585">
        <w:t>poprawa efektywności energetycznej</w:t>
      </w:r>
      <w:r w:rsidR="0000415C">
        <w:t>;</w:t>
      </w:r>
      <w:r w:rsidRPr="00925585">
        <w:t xml:space="preserve"> </w:t>
      </w:r>
    </w:p>
    <w:p w14:paraId="3BE662E8" w14:textId="4531A2D9" w:rsidR="0095045F" w:rsidRPr="00925585" w:rsidRDefault="0095045F" w:rsidP="0095045F">
      <w:pPr>
        <w:pStyle w:val="Normal1"/>
        <w:numPr>
          <w:ilvl w:val="0"/>
          <w:numId w:val="7"/>
        </w:numPr>
      </w:pPr>
      <w:r w:rsidRPr="00925585">
        <w:t>zmniejszenie emisyjności sektora energetycznego</w:t>
      </w:r>
      <w:r w:rsidR="0000415C">
        <w:t>;</w:t>
      </w:r>
      <w:r w:rsidRPr="00925585">
        <w:t xml:space="preserve"> </w:t>
      </w:r>
    </w:p>
    <w:p w14:paraId="106D1F52" w14:textId="1C412B30" w:rsidR="0095045F" w:rsidRPr="00925585" w:rsidRDefault="0095045F" w:rsidP="0095045F">
      <w:pPr>
        <w:pStyle w:val="Normal1"/>
        <w:numPr>
          <w:ilvl w:val="0"/>
          <w:numId w:val="7"/>
        </w:numPr>
      </w:pPr>
      <w:r w:rsidRPr="00925585">
        <w:t>poprawa lokalnego bezpieczeństwa energetycznego</w:t>
      </w:r>
      <w:r w:rsidR="0000415C">
        <w:t>;</w:t>
      </w:r>
      <w:r w:rsidRPr="00925585">
        <w:t xml:space="preserve"> </w:t>
      </w:r>
    </w:p>
    <w:p w14:paraId="455759BE" w14:textId="77777777" w:rsidR="0095045F" w:rsidRPr="00925585" w:rsidRDefault="0095045F" w:rsidP="0095045F">
      <w:pPr>
        <w:pStyle w:val="Normal1"/>
        <w:numPr>
          <w:ilvl w:val="0"/>
          <w:numId w:val="7"/>
        </w:numPr>
      </w:pPr>
      <w:r w:rsidRPr="00925585">
        <w:t xml:space="preserve">walka ze zjawiskiem smogu. </w:t>
      </w:r>
    </w:p>
    <w:p w14:paraId="431A9668" w14:textId="77777777" w:rsidR="0095045F" w:rsidRPr="00925585" w:rsidRDefault="0095045F" w:rsidP="0095045F">
      <w:pPr>
        <w:pStyle w:val="Normal1"/>
      </w:pPr>
      <w:r w:rsidRPr="00925585">
        <w:t>Proponowana nowelizacja stanowi odpowiedź na następujące problemy:</w:t>
      </w:r>
    </w:p>
    <w:p w14:paraId="6E08D916" w14:textId="0B228770" w:rsidR="0095045F" w:rsidRPr="00925585" w:rsidRDefault="0095045F" w:rsidP="0095045F">
      <w:pPr>
        <w:pStyle w:val="Normal1"/>
        <w:numPr>
          <w:ilvl w:val="0"/>
          <w:numId w:val="8"/>
        </w:numPr>
      </w:pPr>
      <w:r w:rsidRPr="00925585">
        <w:t>umożliwienie pełnej partycypacji społeczeństwa w systemie prosumenckim</w:t>
      </w:r>
      <w:r w:rsidR="0000415C">
        <w:t>;</w:t>
      </w:r>
      <w:r w:rsidRPr="00925585">
        <w:t xml:space="preserve"> </w:t>
      </w:r>
    </w:p>
    <w:p w14:paraId="647D21DE" w14:textId="46B2939A" w:rsidR="0095045F" w:rsidRPr="00925585" w:rsidRDefault="0095045F" w:rsidP="0095045F">
      <w:pPr>
        <w:pStyle w:val="Normal1"/>
        <w:numPr>
          <w:ilvl w:val="0"/>
          <w:numId w:val="8"/>
        </w:numPr>
      </w:pPr>
      <w:r w:rsidRPr="00925585">
        <w:t>zwiększenie efektów działań wspierających przedsięwzięcia niskoemisyjne</w:t>
      </w:r>
      <w:r w:rsidR="0000415C">
        <w:t>;</w:t>
      </w:r>
    </w:p>
    <w:p w14:paraId="2F892BAC" w14:textId="77777777" w:rsidR="0095045F" w:rsidRPr="00925585" w:rsidRDefault="0095045F" w:rsidP="0095045F">
      <w:pPr>
        <w:pStyle w:val="Normal1"/>
        <w:numPr>
          <w:ilvl w:val="0"/>
          <w:numId w:val="8"/>
        </w:numPr>
      </w:pPr>
      <w:r w:rsidRPr="00925585">
        <w:t>zwiększenie udziału energii ze źródeł odnawialnych w końcowym zużyciu energii brutto.</w:t>
      </w:r>
    </w:p>
    <w:p w14:paraId="3C5D4026" w14:textId="77777777" w:rsidR="0095045F" w:rsidRPr="00925585" w:rsidRDefault="0095045F" w:rsidP="0095045F">
      <w:pPr>
        <w:pStyle w:val="Normal1"/>
      </w:pPr>
      <w:r w:rsidRPr="00925585">
        <w:t xml:space="preserve">Projekt ustawy przewiduje: </w:t>
      </w:r>
    </w:p>
    <w:p w14:paraId="2DBF18D7" w14:textId="77777777" w:rsidR="0095045F" w:rsidRPr="00925585" w:rsidRDefault="0095045F" w:rsidP="0095045F">
      <w:pPr>
        <w:pStyle w:val="Normal1"/>
        <w:numPr>
          <w:ilvl w:val="0"/>
          <w:numId w:val="9"/>
        </w:numPr>
      </w:pPr>
      <w:r w:rsidRPr="00925585">
        <w:t>wprowadzenie nowych definicji</w:t>
      </w:r>
      <w:r w:rsidR="0000415C">
        <w:t>,</w:t>
      </w:r>
      <w:r w:rsidRPr="00925585">
        <w:t xml:space="preserve"> m.in.: prosumenta zbiorowego energii odnawialnej i</w:t>
      </w:r>
      <w:r>
        <w:t> </w:t>
      </w:r>
      <w:r w:rsidRPr="00925585">
        <w:t>prosumenta wirtualnego energii odnawialnej</w:t>
      </w:r>
      <w:r w:rsidR="0000415C">
        <w:t>,</w:t>
      </w:r>
      <w:r w:rsidRPr="00925585">
        <w:t xml:space="preserve"> zwiększających dostępność modeli prosumenckich dla społeczeństwa</w:t>
      </w:r>
      <w:r w:rsidR="0000415C">
        <w:t>;</w:t>
      </w:r>
    </w:p>
    <w:p w14:paraId="1728C274" w14:textId="77777777" w:rsidR="0095045F" w:rsidRPr="00925585" w:rsidRDefault="0095045F" w:rsidP="0095045F">
      <w:pPr>
        <w:pStyle w:val="Normal1"/>
        <w:numPr>
          <w:ilvl w:val="0"/>
          <w:numId w:val="9"/>
        </w:numPr>
      </w:pPr>
      <w:r w:rsidRPr="00925585">
        <w:t>doprecyzowanie przepisów w celu uniknięcia niekorzystnych dla prosumentów interpretacji</w:t>
      </w:r>
      <w:r>
        <w:t>.</w:t>
      </w:r>
      <w:r w:rsidRPr="00925585">
        <w:t xml:space="preserve"> </w:t>
      </w:r>
    </w:p>
    <w:p w14:paraId="1FA63078" w14:textId="53CDEE5A" w:rsidR="00CB6069" w:rsidRPr="00AA10BD" w:rsidRDefault="00AA10BD" w:rsidP="0095045F">
      <w:pPr>
        <w:pStyle w:val="Normal1"/>
        <w:spacing w:before="120"/>
      </w:pPr>
      <w:r w:rsidRPr="00AA10BD">
        <w:t>W zmianie ustawy – Prawo energetyczne w art. 9 w ust</w:t>
      </w:r>
      <w:r>
        <w:t>.</w:t>
      </w:r>
      <w:r w:rsidRPr="00AA10BD">
        <w:t xml:space="preserve"> 4a </w:t>
      </w:r>
      <w:r w:rsidR="00CB6069" w:rsidRPr="00AA10BD">
        <w:t xml:space="preserve">zakres </w:t>
      </w:r>
      <w:r w:rsidR="009F10A4" w:rsidRPr="00AA10BD">
        <w:t xml:space="preserve">przedmiotowy w/w delegacji ustawowej został rozszerzony o </w:t>
      </w:r>
      <w:r w:rsidR="007F6C05" w:rsidRPr="00AA10BD">
        <w:t>prosumentów zbiorowych energii odnawialnej oraz prosumentów wirtualnych energii odnawialnej, co wynika ze zmian wprowadzanych w ramach niniejszej ustawy.</w:t>
      </w:r>
    </w:p>
    <w:p w14:paraId="063A43C5" w14:textId="7574E038" w:rsidR="0095045F" w:rsidRDefault="0095045F" w:rsidP="0095045F">
      <w:pPr>
        <w:pStyle w:val="Normal1"/>
        <w:spacing w:before="120"/>
      </w:pPr>
      <w:r w:rsidRPr="00AA10BD">
        <w:t>Zakres przedmiotowy ww</w:t>
      </w:r>
      <w:r w:rsidR="006103B2" w:rsidRPr="00AA10BD">
        <w:t>.</w:t>
      </w:r>
      <w:r w:rsidRPr="00AA10BD">
        <w:t xml:space="preserve"> delegacji ustawowej w istocie swojej odpowiada zakresowi przedmiotowemu delegacji ustawowej aktualnie obowiązującej, przy czym </w:t>
      </w:r>
      <w:r w:rsidR="006103B2" w:rsidRPr="00AA10BD">
        <w:t xml:space="preserve">– </w:t>
      </w:r>
      <w:r w:rsidRPr="00AA10BD">
        <w:t xml:space="preserve">z uwagi na istotę procedowanej zmiany </w:t>
      </w:r>
      <w:r w:rsidR="006103B2" w:rsidRPr="00AA10BD">
        <w:t>–</w:t>
      </w:r>
      <w:r w:rsidRPr="00AA10BD">
        <w:t xml:space="preserve">został </w:t>
      </w:r>
      <w:r w:rsidR="006103B2" w:rsidRPr="00AA10BD">
        <w:t xml:space="preserve">on rozszerzony </w:t>
      </w:r>
      <w:r w:rsidRPr="00AA10BD">
        <w:t>o prosumentów zbiorowych energii odnawialnej oraz prosumentów wirtualnych energii odnawialnej.</w:t>
      </w:r>
    </w:p>
    <w:p w14:paraId="37A99189" w14:textId="1772D9A5" w:rsidR="007D2B42" w:rsidRDefault="0095045F" w:rsidP="0095045F">
      <w:pPr>
        <w:pStyle w:val="Normal1"/>
      </w:pPr>
      <w:r>
        <w:lastRenderedPageBreak/>
        <w:t>Zarówno mikro- jaki i mali oraz średni przedsiębiorcy skorzystają na wdrożeniu proponowanych rozwiązań, gdyż ułatwią one dostęp do energetyki prosumenckiej oraz pozwolą na lepsze dopasowanie do potrzeb poszczególnych przedsiębiorców (np. rozwiązania dot</w:t>
      </w:r>
      <w:r w:rsidR="006103B2">
        <w:t>yczące</w:t>
      </w:r>
      <w:r>
        <w:t xml:space="preserve"> prosumenta wirtualnego w sytuacji braku możliwości lokalizacji źródła OZE w miejscu działalności przedsiębiorcy). </w:t>
      </w:r>
    </w:p>
    <w:p w14:paraId="7B6905DB" w14:textId="2821D3D7" w:rsidR="007D2B42" w:rsidRDefault="007D2B42" w:rsidP="0095045F">
      <w:pPr>
        <w:pStyle w:val="Normal1"/>
      </w:pPr>
      <w:r w:rsidRPr="007D2B42">
        <w:t>Ustawa będzie neutralna dla budżetu</w:t>
      </w:r>
      <w:r w:rsidR="007D0252">
        <w:t xml:space="preserve"> </w:t>
      </w:r>
      <w:r w:rsidR="007D0252" w:rsidRPr="00816248">
        <w:t>państwa i budżetów jednostek samorządu terytorialnego</w:t>
      </w:r>
      <w:r w:rsidRPr="007D2B42">
        <w:t xml:space="preserve">. </w:t>
      </w:r>
    </w:p>
    <w:p w14:paraId="4C07B095" w14:textId="77777777" w:rsidR="007D2B42" w:rsidRDefault="007D2B42" w:rsidP="0095045F">
      <w:pPr>
        <w:pStyle w:val="Normal1"/>
      </w:pPr>
    </w:p>
    <w:p w14:paraId="46F97CD1" w14:textId="77777777" w:rsidR="006103B2" w:rsidRPr="008E5DE8" w:rsidRDefault="006103B2" w:rsidP="00816248">
      <w:pPr>
        <w:pStyle w:val="Akapitzlist"/>
        <w:spacing w:after="0" w:line="240" w:lineRule="auto"/>
        <w:ind w:left="0" w:right="113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E5DE8">
        <w:rPr>
          <w:rFonts w:ascii="Arial" w:eastAsia="Calibri" w:hAnsi="Arial" w:cs="Arial"/>
          <w:color w:val="000000" w:themeColor="text1"/>
          <w:sz w:val="20"/>
          <w:szCs w:val="20"/>
        </w:rPr>
        <w:t>Projekt ustawy nie zawiera norm krajowych, przepisów technicznych oraz przepisów dotyczących usług, w rozumieniu</w:t>
      </w:r>
      <w:r w:rsidRPr="008E5DE8">
        <w:rPr>
          <w:rFonts w:ascii="Arial" w:hAnsi="Arial" w:cs="Arial"/>
          <w:sz w:val="20"/>
          <w:szCs w:val="20"/>
        </w:rPr>
        <w:t xml:space="preserve">  </w:t>
      </w:r>
      <w:r w:rsidRPr="008E5DE8">
        <w:rPr>
          <w:rFonts w:ascii="Arial" w:eastAsia="Calibri" w:hAnsi="Arial" w:cs="Arial"/>
          <w:color w:val="000000" w:themeColor="text1"/>
          <w:sz w:val="20"/>
          <w:szCs w:val="20"/>
        </w:rPr>
        <w:t>przepisów rozporządzenia Rady Ministrów z dnia 23 grudnia 2002 r. w sprawie sposobu funkcjonowania krajowego systemu notyfikacji norm i aktów prawnych (Dz. U. poz. 2039, z późn. zm.), w związku z tym nie będzie podlegał obowiązkowi notyfikacji.</w:t>
      </w:r>
    </w:p>
    <w:p w14:paraId="6C363211" w14:textId="77777777" w:rsidR="006103B2" w:rsidRDefault="006103B2" w:rsidP="0095045F">
      <w:pPr>
        <w:pStyle w:val="Normal1"/>
      </w:pPr>
    </w:p>
    <w:p w14:paraId="762BB5B3" w14:textId="44F4BBB9" w:rsidR="0095045F" w:rsidRPr="00D7370E" w:rsidRDefault="0095045F" w:rsidP="00816248">
      <w:pPr>
        <w:pStyle w:val="Normal1"/>
      </w:pPr>
      <w:r w:rsidRPr="00925585">
        <w:t>Projektowan</w:t>
      </w:r>
      <w:r w:rsidR="006103B2">
        <w:t>a</w:t>
      </w:r>
      <w:r w:rsidRPr="00925585">
        <w:t xml:space="preserve"> </w:t>
      </w:r>
      <w:r w:rsidR="006103B2">
        <w:t>ustawa</w:t>
      </w:r>
      <w:r w:rsidR="006103B2" w:rsidRPr="00925585">
        <w:t xml:space="preserve"> </w:t>
      </w:r>
      <w:r w:rsidR="002D748B">
        <w:t>jest zgodna</w:t>
      </w:r>
      <w:r w:rsidR="00556730">
        <w:t xml:space="preserve"> </w:t>
      </w:r>
      <w:r w:rsidRPr="00925585">
        <w:t>z prawem Unii Europejskiej.</w:t>
      </w:r>
    </w:p>
    <w:p w14:paraId="7E3CB303" w14:textId="77777777" w:rsidR="006103B2" w:rsidRPr="008E5DE8" w:rsidRDefault="006103B2" w:rsidP="008E5DE8">
      <w:pPr>
        <w:spacing w:after="0" w:line="240" w:lineRule="auto"/>
        <w:ind w:left="113" w:right="113" w:firstLine="595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9AC6D54" w14:textId="0C417A20" w:rsidR="006103B2" w:rsidRPr="008E5DE8" w:rsidRDefault="006103B2" w:rsidP="00816248">
      <w:pPr>
        <w:pStyle w:val="NIEARTTEKSTtekstnieartykuowanynppodstprawnarozplubpreambua"/>
        <w:spacing w:before="0" w:line="240" w:lineRule="auto"/>
        <w:ind w:firstLine="0"/>
        <w:rPr>
          <w:rFonts w:ascii="Arial" w:eastAsia="Calibri" w:hAnsi="Arial"/>
          <w:bCs w:val="0"/>
          <w:color w:val="000000" w:themeColor="text1"/>
          <w:sz w:val="20"/>
          <w:lang w:eastAsia="en-US"/>
        </w:rPr>
      </w:pPr>
      <w:r w:rsidRPr="008E5DE8">
        <w:rPr>
          <w:rFonts w:ascii="Arial" w:eastAsia="Calibri" w:hAnsi="Arial"/>
          <w:bCs w:val="0"/>
          <w:color w:val="000000" w:themeColor="text1"/>
          <w:sz w:val="20"/>
          <w:lang w:eastAsia="en-US"/>
        </w:rPr>
        <w:t>Projekt ustawy nie podlega obowiązkowi przedstawienia właściwym organom i instytucjom Unii Europejskiej, w tym Europejskiemu Bankowi Centralnemu.</w:t>
      </w:r>
      <w:r w:rsidR="00556730">
        <w:rPr>
          <w:rFonts w:ascii="Arial" w:eastAsia="Calibri" w:hAnsi="Arial"/>
          <w:bCs w:val="0"/>
          <w:color w:val="000000" w:themeColor="text1"/>
          <w:sz w:val="20"/>
          <w:lang w:eastAsia="en-US"/>
        </w:rPr>
        <w:t xml:space="preserve"> </w:t>
      </w:r>
    </w:p>
    <w:p w14:paraId="66EB1770" w14:textId="77777777" w:rsidR="004628C5" w:rsidRDefault="004628C5"/>
    <w:sectPr w:rsidR="00462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579D8" w14:textId="77777777" w:rsidR="008C004C" w:rsidRDefault="008C004C" w:rsidP="0095045F">
      <w:pPr>
        <w:spacing w:after="0" w:line="240" w:lineRule="auto"/>
      </w:pPr>
      <w:r>
        <w:separator/>
      </w:r>
    </w:p>
  </w:endnote>
  <w:endnote w:type="continuationSeparator" w:id="0">
    <w:p w14:paraId="2035354B" w14:textId="77777777" w:rsidR="008C004C" w:rsidRDefault="008C004C" w:rsidP="0095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2099465"/>
      <w:docPartObj>
        <w:docPartGallery w:val="Page Numbers (Bottom of Page)"/>
        <w:docPartUnique/>
      </w:docPartObj>
    </w:sdtPr>
    <w:sdtEndPr/>
    <w:sdtContent>
      <w:p w14:paraId="3A61EE2E" w14:textId="1A2544DA" w:rsidR="006103B2" w:rsidRDefault="006103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E8">
          <w:rPr>
            <w:noProof/>
          </w:rPr>
          <w:t>13</w:t>
        </w:r>
        <w:r>
          <w:fldChar w:fldCharType="end"/>
        </w:r>
      </w:p>
    </w:sdtContent>
  </w:sdt>
  <w:p w14:paraId="59FB1FA5" w14:textId="77777777" w:rsidR="006103B2" w:rsidRDefault="0061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9298" w14:textId="77777777" w:rsidR="008C004C" w:rsidRDefault="008C004C" w:rsidP="0095045F">
      <w:pPr>
        <w:spacing w:after="0" w:line="240" w:lineRule="auto"/>
      </w:pPr>
      <w:r>
        <w:separator/>
      </w:r>
    </w:p>
  </w:footnote>
  <w:footnote w:type="continuationSeparator" w:id="0">
    <w:p w14:paraId="0749393A" w14:textId="77777777" w:rsidR="008C004C" w:rsidRDefault="008C004C" w:rsidP="0095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310A"/>
    <w:multiLevelType w:val="hybridMultilevel"/>
    <w:tmpl w:val="F846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B11"/>
    <w:multiLevelType w:val="hybridMultilevel"/>
    <w:tmpl w:val="8DF68D1E"/>
    <w:lvl w:ilvl="0" w:tplc="8E6A1AF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744869"/>
    <w:multiLevelType w:val="hybridMultilevel"/>
    <w:tmpl w:val="2D7A1BE2"/>
    <w:lvl w:ilvl="0" w:tplc="D7AEEF7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6F44"/>
    <w:multiLevelType w:val="hybridMultilevel"/>
    <w:tmpl w:val="ABF0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45DF"/>
    <w:multiLevelType w:val="hybridMultilevel"/>
    <w:tmpl w:val="E5EC49FE"/>
    <w:lvl w:ilvl="0" w:tplc="7DF0DB7C">
      <w:start w:val="1"/>
      <w:numFmt w:val="bullet"/>
      <w:pStyle w:val="Bullety"/>
      <w:lvlText w:val="►"/>
      <w:lvlJc w:val="left"/>
      <w:pPr>
        <w:ind w:left="540" w:hanging="360"/>
      </w:pPr>
      <w:rPr>
        <w:rFonts w:ascii="Arial" w:hAnsi="Arial" w:hint="default"/>
        <w:color w:val="FFE600"/>
      </w:rPr>
    </w:lvl>
    <w:lvl w:ilvl="1" w:tplc="B504045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590D8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0284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2878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6ABB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A664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78E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72E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E0844"/>
    <w:multiLevelType w:val="hybridMultilevel"/>
    <w:tmpl w:val="6E32F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6DD"/>
    <w:multiLevelType w:val="hybridMultilevel"/>
    <w:tmpl w:val="2D86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7783"/>
    <w:multiLevelType w:val="hybridMultilevel"/>
    <w:tmpl w:val="2D86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EDF"/>
    <w:multiLevelType w:val="hybridMultilevel"/>
    <w:tmpl w:val="545C9DAE"/>
    <w:lvl w:ilvl="0" w:tplc="B504045E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91B2488"/>
    <w:multiLevelType w:val="hybridMultilevel"/>
    <w:tmpl w:val="F182C9E8"/>
    <w:lvl w:ilvl="0" w:tplc="4F6406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F2A13"/>
    <w:multiLevelType w:val="hybridMultilevel"/>
    <w:tmpl w:val="3A3A536A"/>
    <w:lvl w:ilvl="0" w:tplc="04150011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1" w15:restartNumberingAfterBreak="0">
    <w:nsid w:val="5F143A97"/>
    <w:multiLevelType w:val="hybridMultilevel"/>
    <w:tmpl w:val="AF9A3656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9A51EB1"/>
    <w:multiLevelType w:val="hybridMultilevel"/>
    <w:tmpl w:val="0A4C5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35FFA"/>
    <w:multiLevelType w:val="hybridMultilevel"/>
    <w:tmpl w:val="8160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195"/>
    <w:multiLevelType w:val="hybridMultilevel"/>
    <w:tmpl w:val="A29010E4"/>
    <w:lvl w:ilvl="0" w:tplc="1966DA2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2943"/>
    <w:multiLevelType w:val="hybridMultilevel"/>
    <w:tmpl w:val="2D86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4"/>
  </w:num>
  <w:num w:numId="7">
    <w:abstractNumId w:val="1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5F"/>
    <w:rsid w:val="0000415C"/>
    <w:rsid w:val="0002000F"/>
    <w:rsid w:val="000208C6"/>
    <w:rsid w:val="000259DB"/>
    <w:rsid w:val="000319AB"/>
    <w:rsid w:val="00053A19"/>
    <w:rsid w:val="00082157"/>
    <w:rsid w:val="00106600"/>
    <w:rsid w:val="001154B4"/>
    <w:rsid w:val="00131518"/>
    <w:rsid w:val="001A5231"/>
    <w:rsid w:val="001C3DC8"/>
    <w:rsid w:val="001D2532"/>
    <w:rsid w:val="001E3193"/>
    <w:rsid w:val="001F41F3"/>
    <w:rsid w:val="00231707"/>
    <w:rsid w:val="00264D0E"/>
    <w:rsid w:val="00267026"/>
    <w:rsid w:val="002A09DF"/>
    <w:rsid w:val="002D748B"/>
    <w:rsid w:val="002E2E84"/>
    <w:rsid w:val="003072F5"/>
    <w:rsid w:val="00331303"/>
    <w:rsid w:val="004157A0"/>
    <w:rsid w:val="004628C5"/>
    <w:rsid w:val="004848A5"/>
    <w:rsid w:val="004A0C98"/>
    <w:rsid w:val="004A124E"/>
    <w:rsid w:val="004A287B"/>
    <w:rsid w:val="004A6B04"/>
    <w:rsid w:val="0053199E"/>
    <w:rsid w:val="00546EA6"/>
    <w:rsid w:val="00556730"/>
    <w:rsid w:val="00593972"/>
    <w:rsid w:val="00605D09"/>
    <w:rsid w:val="006103B2"/>
    <w:rsid w:val="0062337F"/>
    <w:rsid w:val="006433BC"/>
    <w:rsid w:val="007125D3"/>
    <w:rsid w:val="0073105E"/>
    <w:rsid w:val="00740D81"/>
    <w:rsid w:val="00747D94"/>
    <w:rsid w:val="00766748"/>
    <w:rsid w:val="0077700A"/>
    <w:rsid w:val="00782791"/>
    <w:rsid w:val="007B167A"/>
    <w:rsid w:val="007D0252"/>
    <w:rsid w:val="007D2B42"/>
    <w:rsid w:val="007F6C05"/>
    <w:rsid w:val="00805070"/>
    <w:rsid w:val="00816248"/>
    <w:rsid w:val="00816B8E"/>
    <w:rsid w:val="00830521"/>
    <w:rsid w:val="00846144"/>
    <w:rsid w:val="00887556"/>
    <w:rsid w:val="008C004C"/>
    <w:rsid w:val="008E5DE8"/>
    <w:rsid w:val="0092090B"/>
    <w:rsid w:val="00921970"/>
    <w:rsid w:val="0092688D"/>
    <w:rsid w:val="0094151D"/>
    <w:rsid w:val="0095045F"/>
    <w:rsid w:val="00967362"/>
    <w:rsid w:val="0097016C"/>
    <w:rsid w:val="009D294C"/>
    <w:rsid w:val="009E327F"/>
    <w:rsid w:val="009F10A4"/>
    <w:rsid w:val="00A345C8"/>
    <w:rsid w:val="00A36208"/>
    <w:rsid w:val="00A71017"/>
    <w:rsid w:val="00AA10BD"/>
    <w:rsid w:val="00AF0F25"/>
    <w:rsid w:val="00B3422F"/>
    <w:rsid w:val="00B43B4E"/>
    <w:rsid w:val="00B75A53"/>
    <w:rsid w:val="00BA0F97"/>
    <w:rsid w:val="00BA26C5"/>
    <w:rsid w:val="00BA328C"/>
    <w:rsid w:val="00BD57FF"/>
    <w:rsid w:val="00C33594"/>
    <w:rsid w:val="00C61E5E"/>
    <w:rsid w:val="00C77AA5"/>
    <w:rsid w:val="00C9556D"/>
    <w:rsid w:val="00CB6069"/>
    <w:rsid w:val="00D8402F"/>
    <w:rsid w:val="00E06A18"/>
    <w:rsid w:val="00E5592F"/>
    <w:rsid w:val="00E712C5"/>
    <w:rsid w:val="00ED364E"/>
    <w:rsid w:val="00EE0E92"/>
    <w:rsid w:val="00EF772F"/>
    <w:rsid w:val="00F869EC"/>
    <w:rsid w:val="00F96856"/>
    <w:rsid w:val="00FC59CE"/>
    <w:rsid w:val="00FE7F8A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4F00"/>
  <w15:docId w15:val="{4E220171-BD38-4B57-A4ED-661BDA1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45F"/>
    <w:pPr>
      <w:spacing w:after="160" w:line="259" w:lineRule="auto"/>
    </w:pPr>
  </w:style>
  <w:style w:type="paragraph" w:styleId="Nagwek4">
    <w:name w:val="heading 4"/>
    <w:basedOn w:val="Normalny"/>
    <w:next w:val="Normal1"/>
    <w:link w:val="Nagwek4Znak"/>
    <w:qFormat/>
    <w:rsid w:val="0095045F"/>
    <w:pPr>
      <w:keepNext/>
      <w:spacing w:before="360" w:after="240" w:line="240" w:lineRule="auto"/>
      <w:outlineLvl w:val="3"/>
    </w:pPr>
    <w:rPr>
      <w:rFonts w:ascii="Arial" w:eastAsia="Times New Roman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5045F"/>
    <w:rPr>
      <w:rFonts w:ascii="Arial" w:eastAsia="Times New Roman" w:hAnsi="Arial" w:cs="Arial"/>
      <w:b/>
      <w:bCs/>
      <w:sz w:val="20"/>
      <w:u w:val="single"/>
    </w:rPr>
  </w:style>
  <w:style w:type="paragraph" w:customStyle="1" w:styleId="Normal1">
    <w:name w:val="Normal1"/>
    <w:basedOn w:val="Normalny"/>
    <w:link w:val="NormalChar"/>
    <w:uiPriority w:val="99"/>
    <w:qFormat/>
    <w:rsid w:val="0095045F"/>
    <w:pPr>
      <w:spacing w:after="120" w:line="276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NormalChar">
    <w:name w:val="Normal Char"/>
    <w:basedOn w:val="Domylnaczcionkaakapitu"/>
    <w:link w:val="Normal1"/>
    <w:uiPriority w:val="99"/>
    <w:rsid w:val="0095045F"/>
    <w:rPr>
      <w:rFonts w:ascii="Arial" w:eastAsia="Times New Roman" w:hAnsi="Arial" w:cs="Arial"/>
      <w:sz w:val="20"/>
      <w:szCs w:val="24"/>
    </w:rPr>
  </w:style>
  <w:style w:type="paragraph" w:customStyle="1" w:styleId="Bullety">
    <w:name w:val="Bullety"/>
    <w:basedOn w:val="Normalny"/>
    <w:link w:val="BulletyChar"/>
    <w:qFormat/>
    <w:rsid w:val="0095045F"/>
    <w:pPr>
      <w:numPr>
        <w:numId w:val="1"/>
      </w:numPr>
      <w:spacing w:after="120" w:line="276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yChar">
    <w:name w:val="Bullety Char"/>
    <w:basedOn w:val="Domylnaczcionkaakapitu"/>
    <w:link w:val="Bullety"/>
    <w:rsid w:val="0095045F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aliases w:val="fn,FT,ft,SD Footnote Text,Footnote Text AG,Podrozdział,Tekst przypisu1,Tekst przypisu2,Tekst przypisu3,Przypis dolny,Footnote,Podrozdzia3,Tekst przypisu Znak Znak Znak Znak,Tekst przypisu Znak Znak Znak Znak Znak,Fußnote,Podrozdzi"/>
    <w:basedOn w:val="Normalny"/>
    <w:link w:val="TekstprzypisudolnegoZnak"/>
    <w:uiPriority w:val="99"/>
    <w:qFormat/>
    <w:rsid w:val="0095045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TekstprzypisudolnegoZnak">
    <w:name w:val="Tekst przypisu dolnego Znak"/>
    <w:aliases w:val="fn Znak,FT Znak,ft Znak,SD Footnote Text Znak,Footnote Text AG Znak,Podrozdział Znak,Tekst przypisu1 Znak,Tekst przypisu2 Znak,Tekst przypisu3 Znak,Przypis dolny Znak,Footnote Znak,Podrozdzia3 Znak,Fußnote Znak,Podrozdzi Znak"/>
    <w:basedOn w:val="Domylnaczcionkaakapitu"/>
    <w:link w:val="Tekstprzypisudolnego"/>
    <w:uiPriority w:val="99"/>
    <w:rsid w:val="0095045F"/>
    <w:rPr>
      <w:rFonts w:ascii="Arial" w:eastAsia="Times New Roman" w:hAnsi="Arial" w:cs="Times New Roman"/>
      <w:sz w:val="16"/>
      <w:szCs w:val="20"/>
    </w:rPr>
  </w:style>
  <w:style w:type="character" w:styleId="Odwoanieprzypisudolnego">
    <w:name w:val="footnote reference"/>
    <w:aliases w:val="fr,FC,_Footnote Reference,_Footnote,_Footnote base Reference,_Footnote text,Footnote reference,tex,_Footnote Text,text,Footnote Reference Number,Odwołanie przypisu1,Odwołanie przypisu2,Bodyfootnotes,SUPERS,Footnote symbol"/>
    <w:basedOn w:val="Domylnaczcionkaakapitu"/>
    <w:uiPriority w:val="99"/>
    <w:rsid w:val="0095045F"/>
    <w:rPr>
      <w:vertAlign w:val="superscript"/>
    </w:rPr>
  </w:style>
  <w:style w:type="paragraph" w:customStyle="1" w:styleId="Tekst">
    <w:name w:val="Tekst"/>
    <w:basedOn w:val="Normal1"/>
    <w:rsid w:val="0095045F"/>
    <w:pPr>
      <w:spacing w:before="120"/>
    </w:pPr>
  </w:style>
  <w:style w:type="paragraph" w:customStyle="1" w:styleId="StyleBulletyUnderline">
    <w:name w:val="Style Bullety + Underline"/>
    <w:basedOn w:val="Bullety"/>
    <w:rsid w:val="0095045F"/>
    <w:pPr>
      <w:keepNext/>
    </w:pPr>
    <w:rPr>
      <w:u w:val="single"/>
    </w:rPr>
  </w:style>
  <w:style w:type="paragraph" w:customStyle="1" w:styleId="Tytu1">
    <w:name w:val="Tytuł1"/>
    <w:basedOn w:val="Tekst"/>
    <w:qFormat/>
    <w:rsid w:val="0095045F"/>
    <w:pPr>
      <w:keepNext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5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45F"/>
  </w:style>
  <w:style w:type="character" w:styleId="Odwoaniedokomentarza">
    <w:name w:val="annotation reference"/>
    <w:basedOn w:val="Domylnaczcionkaakapitu"/>
    <w:uiPriority w:val="99"/>
    <w:semiHidden/>
    <w:unhideWhenUsed/>
    <w:rsid w:val="00004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1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D0E"/>
    <w:pPr>
      <w:ind w:left="720"/>
      <w:contextualSpacing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103B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2250-FB6B-43D6-8E03-CC00F559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2021-10-28T10:01:00Z</dcterms:created>
  <dcterms:modified xsi:type="dcterms:W3CDTF">2021-10-28T10:38:00Z</dcterms:modified>
</cp:coreProperties>
</file>